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overflowPunct w:val="false"/>
        <w:ind w:left="-26" w:right="-535" w:firstLine="12"/>
        <w:jc w:val="center"/>
        <w:textAlignment w:val="center"/>
        <w:rPr>
          <w:rFonts w:ascii="標楷體" w:hAnsi="標楷體" w:eastAsia="標楷體" w:cs="Times New Roman"/>
          <w:color w:val="auto"/>
          <w:sz w:val="40"/>
          <w:szCs w:val="36"/>
        </w:rPr>
      </w:pPr>
      <w:r>
        <w:rPr>
          <w:rFonts w:ascii="標楷體" w:hAnsi="標楷體" w:cs="Times New Roman" w:eastAsia="標楷體"/>
          <w:color w:val="auto"/>
          <w:sz w:val="40"/>
          <w:szCs w:val="36"/>
        </w:rPr>
        <w:t>教師法施行細則修正條文</w:t>
      </w:r>
    </w:p>
    <w:p>
      <w:pPr>
        <w:pStyle w:val="112"/>
        <w:widowControl w:val="false"/>
        <w:tabs>
          <w:tab w:val="clear" w:pos="50"/>
          <w:tab w:val="left" w:pos="658" w:leader="none"/>
        </w:tabs>
        <w:overflowPunct w:val="false"/>
        <w:bidi w:val="0"/>
        <w:snapToGrid w:val="false"/>
        <w:spacing w:lineRule="exact" w:line="460"/>
        <w:ind w:left="1417" w:right="-57" w:hanging="1417"/>
        <w:jc w:val="distribute"/>
        <w:rPr>
          <w:rFonts w:ascii="標楷體" w:hAnsi="標楷體" w:eastAsia="標楷體"/>
          <w:color w:val="auto"/>
          <w:kern w:val="0"/>
          <w:sz w:val="28"/>
          <w:szCs w:val="28"/>
        </w:rPr>
      </w:pPr>
      <w:r>
        <w:rPr>
          <w:rFonts w:ascii="標楷體" w:hAnsi="標楷體" w:eastAsia="標楷體"/>
          <w:color w:val="auto"/>
          <w:kern w:val="0"/>
          <w:sz w:val="28"/>
          <w:szCs w:val="28"/>
        </w:rPr>
        <w:t>第　一　條　　本細則依教師法</w:t>
      </w:r>
      <w:r>
        <w:rPr>
          <w:rFonts w:eastAsia="標楷體" w:ascii="標楷體" w:hAnsi="標楷體"/>
          <w:color w:val="auto"/>
          <w:kern w:val="0"/>
          <w:sz w:val="28"/>
          <w:szCs w:val="28"/>
        </w:rPr>
        <w:t>(</w:t>
      </w:r>
      <w:r>
        <w:rPr>
          <w:rFonts w:ascii="標楷體" w:hAnsi="標楷體" w:eastAsia="標楷體"/>
          <w:color w:val="auto"/>
          <w:kern w:val="0"/>
          <w:sz w:val="28"/>
          <w:szCs w:val="28"/>
        </w:rPr>
        <w:t>以下簡稱本法</w:t>
      </w:r>
      <w:r>
        <w:rPr>
          <w:rFonts w:eastAsia="標楷體" w:ascii="標楷體" w:hAnsi="標楷體"/>
          <w:color w:val="auto"/>
          <w:kern w:val="0"/>
          <w:sz w:val="28"/>
          <w:szCs w:val="28"/>
        </w:rPr>
        <w:t>)</w:t>
      </w:r>
      <w:r>
        <w:rPr>
          <w:rFonts w:ascii="標楷體" w:hAnsi="標楷體" w:eastAsia="標楷體"/>
          <w:color w:val="auto"/>
          <w:kern w:val="0"/>
          <w:sz w:val="28"/>
          <w:szCs w:val="28"/>
        </w:rPr>
        <w:t>第五十二條規定訂定之。</w:t>
      </w:r>
    </w:p>
    <w:p>
      <w:pPr>
        <w:pStyle w:val="112"/>
        <w:tabs>
          <w:tab w:val="clear" w:pos="50"/>
          <w:tab w:val="left" w:pos="658" w:leader="none"/>
        </w:tabs>
        <w:overflowPunct w:val="false"/>
        <w:snapToGrid w:val="false"/>
        <w:spacing w:lineRule="exact" w:line="460"/>
        <w:ind w:left="1386" w:right="-31" w:hanging="1400"/>
        <w:jc w:val="distribute"/>
        <w:rPr>
          <w:rFonts w:ascii="標楷體" w:hAnsi="標楷體" w:eastAsia="標楷體"/>
          <w:color w:val="auto"/>
          <w:kern w:val="0"/>
          <w:sz w:val="28"/>
          <w:szCs w:val="28"/>
        </w:rPr>
      </w:pPr>
      <w:r>
        <w:rPr>
          <w:rFonts w:ascii="標楷體" w:hAnsi="標楷體" w:eastAsia="標楷體"/>
          <w:color w:val="auto"/>
          <w:kern w:val="0"/>
          <w:sz w:val="28"/>
          <w:szCs w:val="28"/>
        </w:rPr>
        <w:t>第　二　條　　本法所稱初聘，指合格教師接受學校第一次聘約或離職後重新接受學校聘約者。</w:t>
      </w:r>
    </w:p>
    <w:p>
      <w:pPr>
        <w:pStyle w:val="112"/>
        <w:tabs>
          <w:tab w:val="clear" w:pos="50"/>
          <w:tab w:val="left" w:pos="658" w:leader="none"/>
        </w:tabs>
        <w:overflowPunct w:val="false"/>
        <w:snapToGrid w:val="false"/>
        <w:spacing w:lineRule="exact" w:line="460"/>
        <w:ind w:left="1386" w:right="-31" w:hanging="1400"/>
        <w:jc w:val="distribute"/>
        <w:rPr>
          <w:rFonts w:ascii="標楷體" w:hAnsi="標楷體" w:eastAsia="標楷體"/>
          <w:color w:val="auto"/>
          <w:kern w:val="0"/>
          <w:sz w:val="28"/>
          <w:szCs w:val="28"/>
        </w:rPr>
      </w:pPr>
      <w:r>
        <w:rPr>
          <w:rFonts w:ascii="標楷體" w:hAnsi="標楷體" w:eastAsia="標楷體"/>
          <w:color w:val="auto"/>
          <w:kern w:val="0"/>
          <w:sz w:val="28"/>
          <w:szCs w:val="28"/>
        </w:rPr>
        <w:t>第　三　條　　本法所稱續聘，指合格教師經學校初聘後，在同一學校繼續接受聘約者。</w:t>
      </w:r>
    </w:p>
    <w:p>
      <w:pPr>
        <w:pStyle w:val="112"/>
        <w:tabs>
          <w:tab w:val="clear" w:pos="50"/>
          <w:tab w:val="left" w:pos="658" w:leader="none"/>
        </w:tabs>
        <w:overflowPunct w:val="false"/>
        <w:snapToGrid w:val="false"/>
        <w:spacing w:lineRule="exact" w:line="460"/>
        <w:ind w:left="1386" w:right="-31" w:hanging="1400"/>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第　四　條　　本法施行前依法派任及已取得教師資格之現任教師，依本法第十條第二項規定辦理聘任時，其原派、聘任年資應予併計。</w:t>
      </w:r>
    </w:p>
    <w:p>
      <w:pPr>
        <w:pStyle w:val="112"/>
        <w:tabs>
          <w:tab w:val="clear" w:pos="50"/>
          <w:tab w:val="left" w:pos="658" w:leader="none"/>
        </w:tabs>
        <w:overflowPunct w:val="false"/>
        <w:snapToGrid w:val="false"/>
        <w:spacing w:lineRule="exact" w:line="460"/>
        <w:ind w:left="1386" w:right="-31" w:hanging="1400"/>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第　五　條　　本法第十條第二項所稱服務成績優良者，指高級中等以下學校教師除履行本法第三十二條所規定之義務外，並應具有下列條件之一：</w:t>
      </w:r>
    </w:p>
    <w:p>
      <w:pPr>
        <w:pStyle w:val="Normal"/>
        <w:widowControl/>
        <w:numPr>
          <w:ilvl w:val="0"/>
          <w:numId w:val="2"/>
        </w:numPr>
        <w:tabs>
          <w:tab w:val="clear" w:pos="50"/>
          <w:tab w:val="left" w:pos="530" w:leader="none"/>
          <w:tab w:val="left" w:pos="1113" w:leader="none"/>
        </w:tabs>
        <w:overflowPunct w:val="false"/>
        <w:spacing w:lineRule="exact" w:line="460" w:before="0" w:after="0"/>
        <w:ind w:left="2532" w:right="120" w:hanging="574"/>
        <w:contextualSpacing/>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品德良好且能發揚師道，有具體事蹟足為師生表率。</w:t>
      </w:r>
    </w:p>
    <w:p>
      <w:pPr>
        <w:pStyle w:val="Normal"/>
        <w:widowControl/>
        <w:numPr>
          <w:ilvl w:val="0"/>
          <w:numId w:val="2"/>
        </w:numPr>
        <w:tabs>
          <w:tab w:val="clear" w:pos="50"/>
          <w:tab w:val="left" w:pos="530" w:leader="none"/>
          <w:tab w:val="left" w:pos="1113" w:leader="none"/>
        </w:tabs>
        <w:overflowPunct w:val="false"/>
        <w:spacing w:lineRule="exact" w:line="460" w:before="0" w:after="0"/>
        <w:ind w:left="2532" w:right="120" w:hanging="574"/>
        <w:contextualSpacing/>
        <w:jc w:val="distribute"/>
        <w:rPr>
          <w:rFonts w:ascii="標楷體" w:hAnsi="標楷體" w:eastAsia="標楷體" w:cs="新細明體"/>
          <w:color w:val="auto"/>
          <w:kern w:val="0"/>
          <w:sz w:val="28"/>
          <w:szCs w:val="28"/>
        </w:rPr>
      </w:pPr>
      <w:r>
        <w:rPr>
          <w:rFonts w:ascii="標楷體" w:hAnsi="標楷體" w:cs="新細明體" w:eastAsia="標楷體"/>
          <w:color w:val="auto"/>
          <w:kern w:val="0"/>
          <w:sz w:val="28"/>
          <w:szCs w:val="28"/>
        </w:rPr>
        <w:t>擔任導師或行政職務，認真負責。</w:t>
      </w:r>
    </w:p>
    <w:p>
      <w:pPr>
        <w:pStyle w:val="Normal"/>
        <w:widowControl/>
        <w:numPr>
          <w:ilvl w:val="0"/>
          <w:numId w:val="2"/>
        </w:numPr>
        <w:tabs>
          <w:tab w:val="clear" w:pos="50"/>
          <w:tab w:val="left" w:pos="530" w:leader="none"/>
          <w:tab w:val="left" w:pos="1113" w:leader="none"/>
        </w:tabs>
        <w:overflowPunct w:val="false"/>
        <w:spacing w:lineRule="exact" w:line="460" w:before="0" w:after="0"/>
        <w:ind w:left="2532" w:right="120" w:hanging="574"/>
        <w:contextualSpacing/>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積極參加與教學、輔導有關之專業發展活動，且教學及輔導學生有具體績效。</w:t>
      </w:r>
    </w:p>
    <w:p>
      <w:pPr>
        <w:pStyle w:val="Normal"/>
        <w:widowControl/>
        <w:numPr>
          <w:ilvl w:val="0"/>
          <w:numId w:val="2"/>
        </w:numPr>
        <w:tabs>
          <w:tab w:val="clear" w:pos="50"/>
          <w:tab w:val="left" w:pos="530" w:leader="none"/>
          <w:tab w:val="left" w:pos="1113" w:leader="none"/>
        </w:tabs>
        <w:overflowPunct w:val="false"/>
        <w:spacing w:lineRule="exact" w:line="460" w:before="0" w:after="0"/>
        <w:ind w:left="2532" w:right="120" w:hanging="574"/>
        <w:contextualSpacing/>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參與前三款以外其他學術、行政工作及社會教育活動，負責盡職，圓滿達成任務，對學校有特殊貢獻。</w:t>
      </w:r>
    </w:p>
    <w:p>
      <w:pPr>
        <w:pStyle w:val="112"/>
        <w:tabs>
          <w:tab w:val="clear" w:pos="50"/>
          <w:tab w:val="left" w:pos="658" w:leader="none"/>
        </w:tabs>
        <w:overflowPunct w:val="false"/>
        <w:snapToGrid w:val="false"/>
        <w:spacing w:lineRule="exact" w:line="460"/>
        <w:ind w:left="1386" w:right="-31" w:hanging="1400"/>
        <w:jc w:val="distribute"/>
        <w:rPr>
          <w:color w:val="auto"/>
        </w:rPr>
      </w:pPr>
      <w:r>
        <w:rPr>
          <w:rFonts w:ascii="標楷體" w:hAnsi="標楷體" w:cs="細明體" w:eastAsia="標楷體"/>
          <w:color w:val="auto"/>
          <w:kern w:val="0"/>
          <w:sz w:val="28"/>
          <w:szCs w:val="28"/>
          <w:lang w:val="zh-TW"/>
        </w:rPr>
        <w:t>第　六　條　　專</w:t>
      </w:r>
      <w:r>
        <w:rPr>
          <w:rFonts w:ascii="標楷體" w:hAnsi="標楷體" w:cs="新細明體" w:eastAsia="標楷體"/>
          <w:color w:val="auto"/>
          <w:kern w:val="0"/>
          <w:sz w:val="28"/>
          <w:szCs w:val="28"/>
        </w:rPr>
        <w:t>科以上學校辦理</w:t>
      </w:r>
      <w:r>
        <w:rPr>
          <w:rFonts w:ascii="標楷體" w:hAnsi="標楷體" w:cs="細明體" w:eastAsia="標楷體"/>
          <w:color w:val="auto"/>
          <w:kern w:val="0"/>
          <w:sz w:val="28"/>
          <w:szCs w:val="28"/>
          <w:lang w:val="zh-TW"/>
        </w:rPr>
        <w:t>本法第十二條</w:t>
      </w:r>
      <w:r>
        <w:rPr>
          <w:rFonts w:ascii="標楷體" w:hAnsi="標楷體" w:cs="新細明體" w:eastAsia="標楷體"/>
          <w:color w:val="auto"/>
          <w:kern w:val="0"/>
          <w:sz w:val="28"/>
          <w:szCs w:val="28"/>
        </w:rPr>
        <w:t>之教師</w:t>
      </w:r>
      <w:r>
        <w:rPr>
          <w:rFonts w:ascii="標楷體" w:hAnsi="標楷體" w:cs="細明體" w:eastAsia="標楷體"/>
          <w:color w:val="auto"/>
          <w:kern w:val="0"/>
          <w:sz w:val="28"/>
          <w:szCs w:val="28"/>
          <w:lang w:val="zh-TW"/>
        </w:rPr>
        <w:t>輔導遷調，應優先輔導至</w:t>
      </w:r>
      <w:r>
        <w:rPr>
          <w:rFonts w:ascii="標楷體" w:hAnsi="標楷體" w:cs="新細明體" w:eastAsia="標楷體"/>
          <w:color w:val="auto"/>
          <w:kern w:val="0"/>
          <w:sz w:val="28"/>
          <w:szCs w:val="28"/>
        </w:rPr>
        <w:t>校內其他</w:t>
      </w:r>
      <w:r>
        <w:rPr>
          <w:rFonts w:ascii="標楷體" w:hAnsi="標楷體" w:cs="細明體" w:eastAsia="標楷體"/>
          <w:color w:val="auto"/>
          <w:kern w:val="0"/>
          <w:sz w:val="28"/>
          <w:szCs w:val="28"/>
          <w:lang w:val="zh-TW"/>
        </w:rPr>
        <w:t>單位從事符合</w:t>
      </w:r>
      <w:r>
        <w:rPr>
          <w:rFonts w:ascii="標楷體" w:hAnsi="標楷體" w:cs="新細明體" w:eastAsia="標楷體"/>
          <w:color w:val="auto"/>
          <w:kern w:val="0"/>
          <w:sz w:val="28"/>
          <w:szCs w:val="28"/>
        </w:rPr>
        <w:t>教師</w:t>
      </w:r>
      <w:r>
        <w:rPr>
          <w:rFonts w:ascii="標楷體" w:hAnsi="標楷體" w:cs="細明體" w:eastAsia="標楷體"/>
          <w:color w:val="auto"/>
          <w:kern w:val="0"/>
          <w:sz w:val="28"/>
          <w:szCs w:val="28"/>
          <w:lang w:val="zh-TW"/>
        </w:rPr>
        <w:t>專長之教學工作；無適當教學工作者，得輔導至其他校內外單位工作。</w:t>
      </w:r>
    </w:p>
    <w:p>
      <w:pPr>
        <w:pStyle w:val="112"/>
        <w:tabs>
          <w:tab w:val="clear" w:pos="50"/>
          <w:tab w:val="left" w:pos="658" w:leader="none"/>
        </w:tabs>
        <w:overflowPunct w:val="false"/>
        <w:snapToGrid w:val="false"/>
        <w:spacing w:lineRule="exact" w:line="460"/>
        <w:ind w:left="1386" w:right="-31" w:hanging="1400"/>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第　七　條　　本法所稱解聘，指教師在聘約存續期間，經服務學校依規定程序終止聘約。</w:t>
      </w:r>
    </w:p>
    <w:p>
      <w:pPr>
        <w:pStyle w:val="Normal"/>
        <w:overflowPunct w:val="false"/>
        <w:spacing w:lineRule="exact" w:line="460"/>
        <w:ind w:left="1399" w:right="77" w:firstLine="546"/>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本法所稱不續聘，指教師經服務學校依規定程序，於聘約期限屆滿時不予續聘。</w:t>
      </w:r>
    </w:p>
    <w:p>
      <w:pPr>
        <w:pStyle w:val="Normal"/>
        <w:overflowPunct w:val="false"/>
        <w:spacing w:lineRule="exact" w:line="460"/>
        <w:ind w:left="1399" w:right="77" w:firstLine="546"/>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本法所稱終局停聘、當然暫時予以停聘、暫時予以停聘，其停聘指教師在聘約存續期間，經服務學校依規定程序，停止聘約之執行。</w:t>
      </w:r>
    </w:p>
    <w:p>
      <w:pPr>
        <w:pStyle w:val="112"/>
        <w:tabs>
          <w:tab w:val="clear" w:pos="50"/>
          <w:tab w:val="left" w:pos="658" w:leader="none"/>
        </w:tabs>
        <w:overflowPunct w:val="false"/>
        <w:snapToGrid w:val="false"/>
        <w:spacing w:lineRule="exact" w:line="460"/>
        <w:ind w:left="1386" w:right="-31" w:hanging="1400"/>
        <w:jc w:val="distribute"/>
        <w:rPr>
          <w:color w:val="auto"/>
        </w:rPr>
      </w:pPr>
      <w:r>
        <w:rPr>
          <w:rFonts w:ascii="標楷體" w:hAnsi="標楷體" w:cs="細明體" w:eastAsia="標楷體"/>
          <w:color w:val="auto"/>
          <w:kern w:val="0"/>
          <w:sz w:val="28"/>
          <w:szCs w:val="28"/>
          <w:lang w:val="zh-TW"/>
        </w:rPr>
        <w:t>第　八　條　　本法所稱體罰，指</w:t>
      </w:r>
      <w:r>
        <w:rPr>
          <w:rFonts w:ascii="標楷體" w:hAnsi="標楷體" w:eastAsia="標楷體"/>
          <w:color w:val="auto"/>
          <w:sz w:val="28"/>
          <w:szCs w:val="28"/>
        </w:rPr>
        <w:t>教師於教育過程中，基於處罰之目的，親自、責令學生自己或責令第三者對學生身體施加強制力，或責令學生採取特定身體動作，使學生身體客觀上受到痛苦或身心受到侵害之行為。</w:t>
      </w:r>
    </w:p>
    <w:p>
      <w:pPr>
        <w:pStyle w:val="Normal"/>
        <w:overflowPunct w:val="false"/>
        <w:spacing w:lineRule="exact" w:line="460"/>
        <w:ind w:left="1399" w:right="77" w:firstLine="546"/>
        <w:jc w:val="distribute"/>
        <w:rPr>
          <w:rFonts w:ascii="標楷體" w:hAnsi="標楷體" w:eastAsia="標楷體" w:cs="細明體"/>
          <w:color w:val="auto"/>
          <w:kern w:val="0"/>
          <w:sz w:val="28"/>
          <w:szCs w:val="28"/>
          <w:lang w:val="zh-TW"/>
        </w:rPr>
      </w:pPr>
      <w:bookmarkStart w:id="0" w:name="_GoBack"/>
      <w:bookmarkEnd w:id="0"/>
      <w:r>
        <w:rPr>
          <w:rFonts w:ascii="標楷體" w:hAnsi="標楷體" w:cs="細明體" w:eastAsia="標楷體"/>
          <w:color w:val="auto"/>
          <w:kern w:val="0"/>
          <w:sz w:val="28"/>
          <w:szCs w:val="28"/>
          <w:lang w:val="zh-TW"/>
        </w:rPr>
        <w:t>本法所稱霸凌，指校園霸凌防制準則規定之霸凌。</w:t>
      </w:r>
    </w:p>
    <w:p>
      <w:pPr>
        <w:pStyle w:val="112"/>
        <w:tabs>
          <w:tab w:val="clear" w:pos="50"/>
          <w:tab w:val="left" w:pos="658" w:leader="none"/>
        </w:tabs>
        <w:overflowPunct w:val="false"/>
        <w:snapToGrid w:val="false"/>
        <w:spacing w:lineRule="exact" w:line="460"/>
        <w:ind w:left="1386" w:right="-31" w:hanging="1400"/>
        <w:jc w:val="distribute"/>
        <w:rPr>
          <w:color w:val="auto"/>
        </w:rPr>
      </w:pPr>
      <w:r>
        <w:rPr>
          <w:rFonts w:ascii="標楷體" w:hAnsi="標楷體" w:cs="細明體" w:eastAsia="標楷體"/>
          <w:color w:val="auto"/>
          <w:kern w:val="0"/>
          <w:sz w:val="28"/>
          <w:szCs w:val="28"/>
          <w:lang w:val="zh-TW"/>
        </w:rPr>
        <w:t>第　九　條　　</w:t>
      </w:r>
      <w:r>
        <w:rPr>
          <w:rFonts w:ascii="標楷體" w:hAnsi="標楷體" w:eastAsia="標楷體"/>
          <w:color w:val="auto"/>
          <w:sz w:val="28"/>
          <w:szCs w:val="28"/>
        </w:rPr>
        <w:t>教師評審委員</w:t>
      </w:r>
      <w:r>
        <w:rPr>
          <w:rFonts w:ascii="標楷體" w:hAnsi="標楷體" w:cs="細明體" w:eastAsia="標楷體"/>
          <w:color w:val="auto"/>
          <w:kern w:val="0"/>
          <w:sz w:val="28"/>
          <w:szCs w:val="28"/>
          <w:lang w:val="zh-TW"/>
        </w:rPr>
        <w:t>會審議解聘、不續聘、停聘、資遣案件時，應分別適用或準用行政程序法有關陳述意見及申請閱覽、抄寫、複印或攝影有關資料或卷宗之相關規定。</w:t>
      </w:r>
    </w:p>
    <w:p>
      <w:pPr>
        <w:pStyle w:val="112"/>
        <w:tabs>
          <w:tab w:val="clear" w:pos="50"/>
          <w:tab w:val="left" w:pos="658" w:leader="none"/>
        </w:tabs>
        <w:overflowPunct w:val="false"/>
        <w:snapToGrid w:val="false"/>
        <w:spacing w:lineRule="exact" w:line="460"/>
        <w:ind w:left="1386" w:right="-31" w:hanging="1400"/>
        <w:jc w:val="distribute"/>
        <w:rPr>
          <w:color w:val="auto"/>
        </w:rPr>
      </w:pPr>
      <w:r>
        <w:rPr>
          <w:rFonts w:ascii="標楷體" w:hAnsi="標楷體" w:eastAsia="標楷體"/>
          <w:color w:val="auto"/>
          <w:kern w:val="0"/>
          <w:sz w:val="28"/>
          <w:szCs w:val="28"/>
        </w:rPr>
        <w:t>第　十　條　　軍警校院及矯正學校確認本法第十四條第一項第四款至第六</w:t>
      </w:r>
      <w:r>
        <w:rPr>
          <w:rFonts w:ascii="標楷體" w:hAnsi="標楷體" w:eastAsia="標楷體"/>
          <w:color w:val="auto"/>
          <w:sz w:val="28"/>
          <w:szCs w:val="28"/>
        </w:rPr>
        <w:t>款或第十五條第一項第一款及第二款情形時，得由其他依法令組成之相關委員會辦理。</w:t>
      </w:r>
    </w:p>
    <w:p>
      <w:pPr>
        <w:pStyle w:val="112"/>
        <w:tabs>
          <w:tab w:val="clear" w:pos="50"/>
          <w:tab w:val="left" w:pos="658" w:leader="none"/>
        </w:tabs>
        <w:overflowPunct w:val="false"/>
        <w:snapToGrid w:val="false"/>
        <w:spacing w:lineRule="exact" w:line="460"/>
        <w:ind w:left="1386" w:right="-31" w:hanging="1400"/>
        <w:jc w:val="distribute"/>
        <w:rPr>
          <w:color w:val="auto"/>
        </w:rPr>
      </w:pPr>
      <w:r>
        <w:rPr>
          <w:rFonts w:ascii="標楷體" w:hAnsi="標楷體" w:cs="細明體" w:eastAsia="標楷體"/>
          <w:color w:val="auto"/>
          <w:kern w:val="0"/>
          <w:sz w:val="28"/>
          <w:szCs w:val="28"/>
          <w:lang w:val="zh-TW"/>
        </w:rPr>
        <w:t>第 十一 條　　</w:t>
      </w:r>
      <w:r>
        <w:rPr>
          <w:rFonts w:ascii="標楷體" w:hAnsi="標楷體" w:eastAsia="標楷體"/>
          <w:color w:val="auto"/>
          <w:sz w:val="28"/>
          <w:szCs w:val="28"/>
        </w:rPr>
        <w:t>教師評審委員會依</w:t>
      </w:r>
      <w:r>
        <w:rPr>
          <w:rFonts w:ascii="標楷體" w:hAnsi="標楷體" w:cs="細明體" w:eastAsia="標楷體"/>
          <w:color w:val="auto"/>
          <w:kern w:val="0"/>
          <w:sz w:val="28"/>
          <w:szCs w:val="28"/>
          <w:lang w:val="zh-TW"/>
        </w:rPr>
        <w:t>本法第十五條第二項規定</w:t>
      </w:r>
      <w:r>
        <w:rPr>
          <w:rFonts w:ascii="標楷體" w:hAnsi="標楷體" w:eastAsia="標楷體"/>
          <w:color w:val="auto"/>
          <w:sz w:val="28"/>
          <w:szCs w:val="28"/>
        </w:rPr>
        <w:t>審議之事項，</w:t>
      </w:r>
      <w:r>
        <w:rPr>
          <w:rFonts w:ascii="標楷體" w:hAnsi="標楷體" w:cs="細明體" w:eastAsia="標楷體"/>
          <w:color w:val="auto"/>
          <w:kern w:val="0"/>
          <w:sz w:val="28"/>
          <w:szCs w:val="28"/>
          <w:lang w:val="zh-TW"/>
        </w:rPr>
        <w:t>以議決</w:t>
      </w:r>
      <w:r>
        <w:rPr>
          <w:rFonts w:ascii="標楷體" w:hAnsi="標楷體" w:eastAsia="標楷體"/>
          <w:color w:val="auto"/>
          <w:sz w:val="28"/>
          <w:szCs w:val="28"/>
        </w:rPr>
        <w:t>該</w:t>
      </w:r>
      <w:r>
        <w:rPr>
          <w:rFonts w:ascii="標楷體" w:hAnsi="標楷體" w:cs="細明體" w:eastAsia="標楷體"/>
          <w:color w:val="auto"/>
          <w:kern w:val="0"/>
          <w:sz w:val="28"/>
          <w:szCs w:val="28"/>
          <w:lang w:val="zh-TW"/>
        </w:rPr>
        <w:t>教師不得聘任為教師之</w:t>
      </w:r>
      <w:r>
        <w:rPr>
          <w:rFonts w:ascii="標楷體" w:hAnsi="標楷體" w:eastAsia="標楷體"/>
          <w:color w:val="auto"/>
          <w:sz w:val="28"/>
          <w:szCs w:val="28"/>
        </w:rPr>
        <w:t>一年至四年</w:t>
      </w:r>
      <w:r>
        <w:rPr>
          <w:rFonts w:ascii="標楷體" w:hAnsi="標楷體" w:cs="細明體" w:eastAsia="標楷體"/>
          <w:color w:val="auto"/>
          <w:kern w:val="0"/>
          <w:sz w:val="28"/>
          <w:szCs w:val="28"/>
          <w:lang w:val="zh-TW"/>
        </w:rPr>
        <w:t>期間為限。</w:t>
      </w:r>
    </w:p>
    <w:p>
      <w:pPr>
        <w:pStyle w:val="112"/>
        <w:tabs>
          <w:tab w:val="clear" w:pos="50"/>
          <w:tab w:val="left" w:pos="658" w:leader="none"/>
        </w:tabs>
        <w:overflowPunct w:val="false"/>
        <w:snapToGrid w:val="false"/>
        <w:spacing w:lineRule="exact" w:line="460"/>
        <w:ind w:left="1386" w:right="-31" w:hanging="1400"/>
        <w:jc w:val="distribute"/>
        <w:rPr>
          <w:color w:val="auto"/>
        </w:rPr>
      </w:pPr>
      <w:r>
        <w:rPr>
          <w:rFonts w:ascii="標楷體" w:hAnsi="標楷體" w:cs="細明體" w:eastAsia="標楷體"/>
          <w:color w:val="auto"/>
          <w:kern w:val="0"/>
          <w:sz w:val="28"/>
          <w:szCs w:val="28"/>
          <w:lang w:val="zh-TW"/>
        </w:rPr>
        <w:t>第 十二 條　　</w:t>
      </w:r>
      <w:r>
        <w:rPr>
          <w:rFonts w:ascii="標楷體" w:hAnsi="標楷體" w:cs="細明體" w:eastAsia="標楷體"/>
          <w:color w:val="auto"/>
          <w:kern w:val="0"/>
          <w:sz w:val="28"/>
          <w:szCs w:val="28"/>
        </w:rPr>
        <w:t>學校於聘約中約定教師有一定違反聘約行為，即得予以解聘或不續聘者，於個案適用時，教師評審委員會仍應依</w:t>
      </w:r>
      <w:r>
        <w:rPr>
          <w:rFonts w:ascii="標楷體" w:hAnsi="標楷體" w:cs="細明體" w:eastAsia="標楷體"/>
          <w:color w:val="auto"/>
          <w:kern w:val="0"/>
          <w:sz w:val="28"/>
          <w:szCs w:val="28"/>
          <w:lang w:val="zh-TW"/>
        </w:rPr>
        <w:t>本法第十六條第一項第二款</w:t>
      </w:r>
      <w:r>
        <w:rPr>
          <w:rFonts w:ascii="標楷體" w:hAnsi="標楷體" w:cs="細明體" w:eastAsia="標楷體"/>
          <w:color w:val="auto"/>
          <w:kern w:val="0"/>
          <w:sz w:val="28"/>
          <w:szCs w:val="28"/>
        </w:rPr>
        <w:t>情節重大規定，就相關事實予以認定，不得逕以教師有一定違反聘約行為，即予以解聘或不續聘。</w:t>
      </w:r>
    </w:p>
    <w:p>
      <w:pPr>
        <w:pStyle w:val="112"/>
        <w:tabs>
          <w:tab w:val="clear" w:pos="50"/>
          <w:tab w:val="left" w:pos="658" w:leader="none"/>
        </w:tabs>
        <w:overflowPunct w:val="false"/>
        <w:snapToGrid w:val="false"/>
        <w:spacing w:lineRule="exact" w:line="460"/>
        <w:ind w:left="1386" w:right="-31" w:hanging="1400"/>
        <w:jc w:val="distribute"/>
        <w:rPr>
          <w:color w:val="auto"/>
        </w:rPr>
      </w:pPr>
      <w:r>
        <w:rPr>
          <w:rFonts w:ascii="標楷體" w:hAnsi="標楷體" w:cs="細明體" w:eastAsia="標楷體"/>
          <w:color w:val="auto"/>
          <w:kern w:val="0"/>
          <w:sz w:val="28"/>
          <w:szCs w:val="28"/>
          <w:lang w:val="zh-TW"/>
        </w:rPr>
        <w:t>第 十三 條　　</w:t>
      </w:r>
      <w:r>
        <w:rPr>
          <w:rFonts w:ascii="標楷體" w:hAnsi="標楷體" w:cs="細明體" w:eastAsia="標楷體"/>
          <w:color w:val="auto"/>
          <w:kern w:val="0"/>
          <w:sz w:val="28"/>
          <w:szCs w:val="28"/>
        </w:rPr>
        <w:t>本法第十六條第一項所稱其情節以資遣為宜者，指經教師評審委員會認定有該條第一項各款情形之一，且非出於教師本人之惡意者。</w:t>
      </w:r>
    </w:p>
    <w:p>
      <w:pPr>
        <w:pStyle w:val="Normal"/>
        <w:overflowPunct w:val="false"/>
        <w:spacing w:lineRule="exact" w:line="460"/>
        <w:ind w:left="1399" w:right="77" w:firstLine="546"/>
        <w:jc w:val="distribute"/>
        <w:rPr>
          <w:rFonts w:ascii="標楷體" w:hAnsi="標楷體" w:eastAsia="標楷體" w:cs="細明體"/>
          <w:color w:val="auto"/>
          <w:kern w:val="0"/>
          <w:sz w:val="28"/>
          <w:szCs w:val="28"/>
        </w:rPr>
      </w:pPr>
      <w:r>
        <w:rPr>
          <w:rFonts w:ascii="標楷體" w:hAnsi="標楷體" w:cs="細明體" w:eastAsia="標楷體"/>
          <w:color w:val="auto"/>
          <w:kern w:val="0"/>
          <w:sz w:val="28"/>
          <w:szCs w:val="28"/>
        </w:rPr>
        <w:t>前項教師評審委員會之認定，依本法第十六條第二項規定辦理。</w:t>
      </w:r>
    </w:p>
    <w:p>
      <w:pPr>
        <w:pStyle w:val="112"/>
        <w:tabs>
          <w:tab w:val="clear" w:pos="50"/>
          <w:tab w:val="left" w:pos="658" w:leader="none"/>
        </w:tabs>
        <w:overflowPunct w:val="false"/>
        <w:snapToGrid w:val="false"/>
        <w:spacing w:lineRule="exact" w:line="460"/>
        <w:ind w:left="1386" w:right="-31" w:hanging="1400"/>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第 十四 條　　本法第十八條第二項所稱不得在學校任教，指不得在任何學校從事兼任、代理、代課及其他教學或輔導工作。</w:t>
      </w:r>
    </w:p>
    <w:p>
      <w:pPr>
        <w:pStyle w:val="Normal"/>
        <w:overflowPunct w:val="false"/>
        <w:spacing w:lineRule="exact" w:line="460"/>
        <w:ind w:left="1399" w:right="77" w:firstLine="546"/>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受終局停聘之教師於停聘期間辭職者，於該停聘六個月至三年期間，仍不得在學校任教，並應受本法第十九條第二項規定之限制。</w:t>
      </w:r>
    </w:p>
    <w:p>
      <w:pPr>
        <w:pStyle w:val="112"/>
        <w:tabs>
          <w:tab w:val="clear" w:pos="50"/>
          <w:tab w:val="left" w:pos="658" w:leader="none"/>
        </w:tabs>
        <w:overflowPunct w:val="false"/>
        <w:snapToGrid w:val="false"/>
        <w:spacing w:lineRule="exact" w:line="460"/>
        <w:ind w:left="1386" w:right="-31" w:hanging="1400"/>
        <w:jc w:val="distribute"/>
        <w:rPr>
          <w:color w:val="auto"/>
        </w:rPr>
      </w:pPr>
      <w:r>
        <w:rPr>
          <w:rFonts w:ascii="標楷體" w:hAnsi="標楷體" w:cs="細明體" w:eastAsia="標楷體"/>
          <w:color w:val="auto"/>
          <w:kern w:val="0"/>
          <w:sz w:val="28"/>
          <w:szCs w:val="28"/>
          <w:lang w:val="zh-TW"/>
        </w:rPr>
        <w:t>第 十五 條　　教師有本法第二十一條各款情事之一者，學校應提請教師評審委員會審議該教師是否已有本法第十四條第一項、第十五條第一項、第十六條第一項或第十八條第一項所定之情事，並另作解聘、不續聘或終局停聘之決定。</w:t>
      </w:r>
    </w:p>
    <w:p>
      <w:pPr>
        <w:pStyle w:val="112"/>
        <w:tabs>
          <w:tab w:val="clear" w:pos="50"/>
          <w:tab w:val="left" w:pos="658" w:leader="none"/>
        </w:tabs>
        <w:overflowPunct w:val="false"/>
        <w:snapToGrid w:val="false"/>
        <w:spacing w:lineRule="exact" w:line="460"/>
        <w:ind w:left="1386" w:right="-31" w:hanging="1400"/>
        <w:jc w:val="distribute"/>
        <w:rPr>
          <w:color w:val="auto"/>
        </w:rPr>
      </w:pPr>
      <w:r>
        <w:rPr>
          <w:rFonts w:ascii="標楷體" w:hAnsi="標楷體" w:cs="細明體" w:eastAsia="標楷體"/>
          <w:color w:val="auto"/>
          <w:kern w:val="0"/>
          <w:sz w:val="28"/>
          <w:szCs w:val="28"/>
          <w:lang w:val="zh-TW"/>
        </w:rPr>
        <w:t>第 十六 條　　</w:t>
      </w:r>
      <w:r>
        <w:rPr>
          <w:rFonts w:ascii="標楷體" w:hAnsi="標楷體" w:cs="細明體" w:eastAsia="標楷體"/>
          <w:color w:val="auto"/>
          <w:kern w:val="0"/>
          <w:sz w:val="28"/>
          <w:szCs w:val="28"/>
        </w:rPr>
        <w:t>本法第二十二條第一項所稱知悉之日，</w:t>
      </w:r>
      <w:r>
        <w:rPr>
          <w:rFonts w:ascii="標楷體" w:hAnsi="標楷體" w:cs="細明體" w:eastAsia="標楷體"/>
          <w:color w:val="auto"/>
          <w:kern w:val="0"/>
          <w:sz w:val="28"/>
          <w:szCs w:val="28"/>
          <w:lang w:val="zh-TW"/>
        </w:rPr>
        <w:t>指學校接獲通報教師疑似涉有本法第二十二條第一項各款情形之日。</w:t>
      </w:r>
    </w:p>
    <w:p>
      <w:pPr>
        <w:pStyle w:val="Normal"/>
        <w:overflowPunct w:val="false"/>
        <w:spacing w:lineRule="exact" w:line="460"/>
        <w:ind w:left="1399" w:right="77" w:firstLine="546"/>
        <w:jc w:val="distribute"/>
        <w:rPr>
          <w:color w:val="auto"/>
        </w:rPr>
      </w:pPr>
      <w:r>
        <w:rPr>
          <w:rFonts w:ascii="標楷體" w:hAnsi="標楷體" w:cs="細明體" w:eastAsia="標楷體"/>
          <w:color w:val="auto"/>
          <w:kern w:val="0"/>
          <w:sz w:val="28"/>
          <w:szCs w:val="28"/>
          <w:lang w:val="zh-TW"/>
        </w:rPr>
        <w:t>依本法第二十二條第一項</w:t>
      </w:r>
      <w:r>
        <w:rPr>
          <w:rFonts w:ascii="標楷體" w:hAnsi="標楷體" w:cs="細明體" w:eastAsia="標楷體"/>
          <w:color w:val="auto"/>
          <w:kern w:val="0"/>
          <w:sz w:val="28"/>
          <w:szCs w:val="28"/>
        </w:rPr>
        <w:t>前段規定審議暫時予以停聘未通過，嗣經學校性別平等教育委員會或依法組成之相關委員會調查發現新事實或新證據而有暫時予以停聘必要者，教師評審委員會應即審議通過暫時予以停聘。</w:t>
      </w:r>
    </w:p>
    <w:p>
      <w:pPr>
        <w:pStyle w:val="Normal"/>
        <w:overflowPunct w:val="false"/>
        <w:spacing w:lineRule="exact" w:line="460"/>
        <w:ind w:left="1399" w:right="77" w:firstLine="546"/>
        <w:jc w:val="distribute"/>
        <w:rPr>
          <w:color w:val="auto"/>
        </w:rPr>
      </w:pPr>
      <w:r>
        <w:rPr>
          <w:rFonts w:ascii="標楷體" w:hAnsi="標楷體" w:cs="細明體" w:eastAsia="標楷體"/>
          <w:color w:val="auto"/>
          <w:kern w:val="0"/>
          <w:sz w:val="28"/>
          <w:szCs w:val="28"/>
        </w:rPr>
        <w:t>教師</w:t>
      </w:r>
      <w:r>
        <w:rPr>
          <w:rFonts w:ascii="標楷體" w:hAnsi="標楷體" w:cs="細明體" w:eastAsia="標楷體"/>
          <w:color w:val="auto"/>
          <w:kern w:val="0"/>
          <w:sz w:val="28"/>
          <w:szCs w:val="28"/>
          <w:lang w:val="zh-TW"/>
        </w:rPr>
        <w:t>評審委員會未依前二項規定辦理時，主管機關得追究學校相關人員責任。</w:t>
      </w:r>
    </w:p>
    <w:p>
      <w:pPr>
        <w:pStyle w:val="112"/>
        <w:tabs>
          <w:tab w:val="clear" w:pos="50"/>
          <w:tab w:val="left" w:pos="658" w:leader="none"/>
        </w:tabs>
        <w:overflowPunct w:val="false"/>
        <w:snapToGrid w:val="false"/>
        <w:spacing w:lineRule="exact" w:line="460"/>
        <w:ind w:left="1386" w:right="-31" w:hanging="1400"/>
        <w:jc w:val="distribute"/>
        <w:rPr>
          <w:color w:val="auto"/>
        </w:rPr>
      </w:pPr>
      <w:r>
        <w:rPr>
          <w:rFonts w:ascii="標楷體" w:hAnsi="標楷體" w:cs="細明體" w:eastAsia="標楷體"/>
          <w:color w:val="auto"/>
          <w:kern w:val="0"/>
          <w:sz w:val="28"/>
          <w:szCs w:val="28"/>
          <w:lang w:val="zh-TW"/>
        </w:rPr>
        <w:t>第 十七 條　　本法第二十六條第五項所稱教師解聘、不續聘或終</w:t>
      </w:r>
      <w:r>
        <w:rPr>
          <w:rFonts w:ascii="標楷體" w:hAnsi="標楷體" w:cs="細明體" w:eastAsia="標楷體"/>
          <w:color w:val="auto"/>
          <w:kern w:val="0"/>
          <w:sz w:val="28"/>
          <w:szCs w:val="28"/>
        </w:rPr>
        <w:t>局停聘案尚在處理程序中，指學校受理教師疑似有解聘、不續聘或終局停聘案件之日起，至解聘、不續聘或終局停聘決定生效之前一日止。</w:t>
      </w:r>
    </w:p>
    <w:p>
      <w:pPr>
        <w:pStyle w:val="Normal"/>
        <w:overflowPunct w:val="false"/>
        <w:spacing w:lineRule="exact" w:line="460"/>
        <w:ind w:left="1399" w:right="77" w:firstLine="546"/>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學校辦理本法第二十六條第五項暫時繼續聘任，免經教師評審委員會審議，其聘期自前次聘約期限屆滿之次日起至解聘、不續聘或終局停聘決定生效之前一日止。</w:t>
      </w:r>
    </w:p>
    <w:p>
      <w:pPr>
        <w:pStyle w:val="112"/>
        <w:tabs>
          <w:tab w:val="clear" w:pos="50"/>
          <w:tab w:val="left" w:pos="658" w:leader="none"/>
        </w:tabs>
        <w:overflowPunct w:val="false"/>
        <w:snapToGrid w:val="false"/>
        <w:spacing w:lineRule="exact" w:line="460"/>
        <w:ind w:left="1386" w:right="-31" w:hanging="1400"/>
        <w:jc w:val="distribute"/>
        <w:rPr>
          <w:color w:val="auto"/>
        </w:rPr>
      </w:pPr>
      <w:r>
        <w:rPr>
          <w:rFonts w:ascii="標楷體" w:hAnsi="標楷體" w:cs="細明體" w:eastAsia="標楷體"/>
          <w:color w:val="auto"/>
          <w:kern w:val="0"/>
          <w:sz w:val="28"/>
          <w:szCs w:val="28"/>
        </w:rPr>
        <w:t>第 十八 條　　經主管機關核定或命</w:t>
      </w:r>
      <w:r>
        <w:rPr>
          <w:rFonts w:ascii="標楷體" w:hAnsi="標楷體" w:cs="細明體" w:eastAsia="標楷體"/>
          <w:color w:val="auto"/>
          <w:kern w:val="0"/>
          <w:sz w:val="28"/>
          <w:szCs w:val="28"/>
          <w:lang w:val="zh-TW"/>
        </w:rPr>
        <w:t>令</w:t>
      </w:r>
      <w:r>
        <w:rPr>
          <w:rFonts w:ascii="標楷體" w:hAnsi="標楷體" w:cs="細明體" w:eastAsia="標楷體"/>
          <w:color w:val="auto"/>
          <w:kern w:val="0"/>
          <w:sz w:val="28"/>
          <w:szCs w:val="28"/>
        </w:rPr>
        <w:t>停辦學校，因故無法組成校級教師評審委員會時，學校應請主管機關推薦校外人士，與校內人員共同組成，審議本法第二十七條第一項第一款之教師資遣案。</w:t>
      </w:r>
    </w:p>
    <w:p>
      <w:pPr>
        <w:pStyle w:val="112"/>
        <w:tabs>
          <w:tab w:val="clear" w:pos="50"/>
          <w:tab w:val="left" w:pos="658" w:leader="none"/>
        </w:tabs>
        <w:overflowPunct w:val="false"/>
        <w:snapToGrid w:val="false"/>
        <w:spacing w:lineRule="exact" w:line="460"/>
        <w:ind w:left="1386" w:right="-31" w:hanging="1400"/>
        <w:jc w:val="distribute"/>
        <w:rPr>
          <w:rFonts w:ascii="標楷體" w:hAnsi="標楷體" w:eastAsia="標楷體"/>
          <w:color w:val="auto"/>
          <w:kern w:val="0"/>
          <w:sz w:val="28"/>
          <w:szCs w:val="28"/>
        </w:rPr>
      </w:pPr>
      <w:r>
        <w:rPr>
          <w:rFonts w:ascii="標楷體" w:hAnsi="標楷體" w:eastAsia="標楷體"/>
          <w:color w:val="auto"/>
          <w:kern w:val="0"/>
          <w:sz w:val="28"/>
          <w:szCs w:val="28"/>
        </w:rPr>
        <w:t>第 十九 條　　申請退休或資遣之教師涉有本法第十四條第一項、第十五條第一項、第十六條第一項或第十八條第一項所定情形時，學校應即召開教師評審委員會、性別平等教育委員會或依法組成之相關委員會，認定是否作成解聘、不續聘或終局停聘之決議；經認定，無須作成解聘、不續聘或終局停聘之決議，且同意受理其申請退休或資遣者，應於報主管機關核准退休案或資遣案時，敘明理由並檢送相關會議資料。</w:t>
      </w:r>
    </w:p>
    <w:p>
      <w:pPr>
        <w:pStyle w:val="Normal"/>
        <w:overflowPunct w:val="false"/>
        <w:spacing w:lineRule="exact" w:line="460"/>
        <w:ind w:left="1399" w:right="77" w:firstLine="546"/>
        <w:jc w:val="distribute"/>
        <w:rPr>
          <w:rFonts w:ascii="標楷體" w:hAnsi="標楷體" w:eastAsia="標楷體"/>
          <w:color w:val="auto"/>
          <w:kern w:val="0"/>
          <w:sz w:val="28"/>
          <w:szCs w:val="28"/>
        </w:rPr>
      </w:pPr>
      <w:r>
        <w:rPr>
          <w:rFonts w:ascii="標楷體" w:hAnsi="標楷體" w:eastAsia="標楷體"/>
          <w:color w:val="auto"/>
          <w:kern w:val="0"/>
          <w:sz w:val="28"/>
          <w:szCs w:val="28"/>
        </w:rPr>
        <w:t>前項教師評審委員會決議，經主管機關認有違法之虞者，應依本法第二十六條規定敘明理由交回學校復議。</w:t>
      </w:r>
    </w:p>
    <w:p>
      <w:pPr>
        <w:pStyle w:val="112"/>
        <w:tabs>
          <w:tab w:val="clear" w:pos="50"/>
          <w:tab w:val="left" w:pos="658" w:leader="none"/>
        </w:tabs>
        <w:overflowPunct w:val="false"/>
        <w:snapToGrid w:val="false"/>
        <w:spacing w:lineRule="exact" w:line="460"/>
        <w:ind w:left="1386" w:right="-31" w:hanging="1400"/>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第 二十 條　　本法第三十一條第一項所稱學校章則，指各級學校依法令或本於職權經學校校務會議通過，並按規定程序公告實施之規定。</w:t>
      </w:r>
    </w:p>
    <w:p>
      <w:pPr>
        <w:pStyle w:val="112"/>
        <w:tabs>
          <w:tab w:val="clear" w:pos="50"/>
          <w:tab w:val="left" w:pos="658" w:leader="none"/>
        </w:tabs>
        <w:overflowPunct w:val="false"/>
        <w:snapToGrid w:val="false"/>
        <w:spacing w:lineRule="exact" w:line="460"/>
        <w:ind w:left="1386" w:right="-31" w:hanging="1400"/>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第二十一條　　本法所定聘約，得由各級主管機關訂定聘約準則。</w:t>
      </w:r>
    </w:p>
    <w:p>
      <w:pPr>
        <w:pStyle w:val="Normal"/>
        <w:overflowPunct w:val="false"/>
        <w:spacing w:lineRule="exact" w:line="460"/>
        <w:ind w:left="1399" w:right="77" w:firstLine="546"/>
        <w:jc w:val="distribute"/>
        <w:rPr>
          <w:color w:val="auto"/>
        </w:rPr>
      </w:pPr>
      <w:r>
        <w:rPr>
          <w:rFonts w:ascii="標楷體" w:hAnsi="標楷體" w:cs="細明體" w:eastAsia="標楷體"/>
          <w:color w:val="auto"/>
          <w:kern w:val="0"/>
          <w:sz w:val="28"/>
          <w:szCs w:val="28"/>
        </w:rPr>
        <w:t>各級教師組織</w:t>
      </w:r>
      <w:r>
        <w:rPr>
          <w:rFonts w:ascii="標楷體" w:hAnsi="標楷體" w:cs="細明體" w:eastAsia="標楷體"/>
          <w:color w:val="auto"/>
          <w:kern w:val="0"/>
          <w:sz w:val="28"/>
          <w:szCs w:val="28"/>
          <w:lang w:val="zh-TW"/>
        </w:rPr>
        <w:t>得依本法第四十條第二款規定，與各級主管機關協議聘約準則。</w:t>
      </w:r>
    </w:p>
    <w:p>
      <w:pPr>
        <w:pStyle w:val="Normal"/>
        <w:overflowPunct w:val="false"/>
        <w:spacing w:lineRule="exact" w:line="460"/>
        <w:ind w:left="1399" w:right="77" w:firstLine="546"/>
        <w:jc w:val="distribute"/>
        <w:rPr>
          <w:color w:val="auto"/>
        </w:rPr>
      </w:pPr>
      <w:r>
        <w:rPr>
          <w:rFonts w:ascii="標楷體" w:hAnsi="標楷體" w:cs="細明體" w:eastAsia="標楷體"/>
          <w:color w:val="auto"/>
          <w:kern w:val="0"/>
          <w:sz w:val="28"/>
          <w:szCs w:val="28"/>
          <w:lang w:val="zh-TW"/>
        </w:rPr>
        <w:t>教師聘約內容，應符合各級</w:t>
      </w:r>
      <w:r>
        <w:rPr>
          <w:rFonts w:ascii="標楷體" w:hAnsi="標楷體" w:cs="細明體" w:eastAsia="標楷體"/>
          <w:bCs/>
          <w:color w:val="auto"/>
          <w:kern w:val="0"/>
          <w:sz w:val="28"/>
          <w:szCs w:val="28"/>
          <w:lang w:val="zh-TW"/>
        </w:rPr>
        <w:t>主管機關所定</w:t>
      </w:r>
      <w:r>
        <w:rPr>
          <w:rFonts w:ascii="標楷體" w:hAnsi="標楷體" w:cs="細明體" w:eastAsia="標楷體"/>
          <w:color w:val="auto"/>
          <w:kern w:val="0"/>
          <w:sz w:val="28"/>
          <w:szCs w:val="28"/>
          <w:lang w:val="zh-TW"/>
        </w:rPr>
        <w:t>聘約準則之規定。</w:t>
      </w:r>
    </w:p>
    <w:p>
      <w:pPr>
        <w:pStyle w:val="112"/>
        <w:tabs>
          <w:tab w:val="clear" w:pos="50"/>
          <w:tab w:val="left" w:pos="658" w:leader="none"/>
        </w:tabs>
        <w:overflowPunct w:val="false"/>
        <w:snapToGrid w:val="false"/>
        <w:spacing w:lineRule="exact" w:line="460"/>
        <w:ind w:left="1386" w:right="-31" w:hanging="1400"/>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第二十二條　　本法所稱學校教師會、地方教師會、全國教師會，其定義如下：</w:t>
      </w:r>
    </w:p>
    <w:p>
      <w:pPr>
        <w:pStyle w:val="Normal"/>
        <w:numPr>
          <w:ilvl w:val="0"/>
          <w:numId w:val="3"/>
        </w:numPr>
        <w:overflowPunct w:val="false"/>
        <w:spacing w:lineRule="exact" w:line="460" w:before="0" w:after="0"/>
        <w:ind w:left="2516" w:right="120" w:hanging="560"/>
        <w:contextualSpacing/>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學校教師會：指各級學校專任教師所組成之職業團體。</w:t>
      </w:r>
    </w:p>
    <w:p>
      <w:pPr>
        <w:pStyle w:val="Normal"/>
        <w:numPr>
          <w:ilvl w:val="0"/>
          <w:numId w:val="3"/>
        </w:numPr>
        <w:overflowPunct w:val="false"/>
        <w:spacing w:lineRule="exact" w:line="460" w:before="0" w:after="0"/>
        <w:ind w:left="2516" w:right="120" w:hanging="560"/>
        <w:contextualSpacing/>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 xml:space="preserve">地方教師會：指於直轄市、縣 </w:t>
      </w:r>
      <w:r>
        <w:rPr>
          <w:rFonts w:eastAsia="標楷體" w:cs="細明體" w:ascii="標楷體" w:hAnsi="標楷體"/>
          <w:color w:val="auto"/>
          <w:kern w:val="0"/>
          <w:sz w:val="28"/>
          <w:szCs w:val="28"/>
          <w:lang w:val="zh-TW"/>
        </w:rPr>
        <w:t>(</w:t>
      </w:r>
      <w:r>
        <w:rPr>
          <w:rFonts w:ascii="標楷體" w:hAnsi="標楷體" w:cs="細明體" w:eastAsia="標楷體"/>
          <w:color w:val="auto"/>
          <w:kern w:val="0"/>
          <w:sz w:val="28"/>
          <w:szCs w:val="28"/>
          <w:lang w:val="zh-TW"/>
        </w:rPr>
        <w:t>市</w:t>
      </w:r>
      <w:r>
        <w:rPr>
          <w:rFonts w:eastAsia="標楷體" w:cs="細明體" w:ascii="標楷體" w:hAnsi="標楷體"/>
          <w:color w:val="auto"/>
          <w:kern w:val="0"/>
          <w:sz w:val="28"/>
          <w:szCs w:val="28"/>
          <w:lang w:val="zh-TW"/>
        </w:rPr>
        <w:t xml:space="preserve">) </w:t>
      </w:r>
      <w:r>
        <w:rPr>
          <w:rFonts w:ascii="標楷體" w:hAnsi="標楷體" w:cs="細明體" w:eastAsia="標楷體"/>
          <w:color w:val="auto"/>
          <w:kern w:val="0"/>
          <w:sz w:val="28"/>
          <w:szCs w:val="28"/>
          <w:lang w:val="zh-TW"/>
        </w:rPr>
        <w:t>區域內以學校教師會為會員所組成之職業團體。</w:t>
      </w:r>
    </w:p>
    <w:p>
      <w:pPr>
        <w:pStyle w:val="Normal"/>
        <w:numPr>
          <w:ilvl w:val="0"/>
          <w:numId w:val="3"/>
        </w:numPr>
        <w:overflowPunct w:val="false"/>
        <w:spacing w:lineRule="exact" w:line="460" w:before="0" w:after="0"/>
        <w:ind w:left="2516" w:right="120" w:hanging="560"/>
        <w:contextualSpacing/>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全國教師會：指由各地方教師會為會員所組成之職業團體。</w:t>
      </w:r>
    </w:p>
    <w:p>
      <w:pPr>
        <w:pStyle w:val="Normal"/>
        <w:overflowPunct w:val="false"/>
        <w:spacing w:lineRule="exact" w:line="460"/>
        <w:ind w:left="1399" w:right="77" w:firstLine="546"/>
        <w:jc w:val="distribute"/>
        <w:rPr>
          <w:rFonts w:ascii="標楷體" w:hAnsi="標楷體" w:eastAsia="標楷體"/>
          <w:color w:val="auto"/>
          <w:sz w:val="28"/>
          <w:szCs w:val="28"/>
        </w:rPr>
      </w:pPr>
      <w:r>
        <w:rPr>
          <w:rFonts w:ascii="標楷體" w:hAnsi="標楷體" w:eastAsia="標楷體"/>
          <w:color w:val="auto"/>
          <w:sz w:val="28"/>
          <w:szCs w:val="28"/>
        </w:rPr>
        <w:t>地方教師會及全國教師會均為聯合團體，其會員以團體為限。</w:t>
      </w:r>
    </w:p>
    <w:p>
      <w:pPr>
        <w:pStyle w:val="112"/>
        <w:tabs>
          <w:tab w:val="clear" w:pos="50"/>
          <w:tab w:val="left" w:pos="658" w:leader="none"/>
        </w:tabs>
        <w:overflowPunct w:val="false"/>
        <w:snapToGrid w:val="false"/>
        <w:spacing w:lineRule="exact" w:line="460"/>
        <w:ind w:left="1386" w:right="-31" w:hanging="1400"/>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第二十三條　　學校教師會由同一學校（包括附設幼兒園）專任教師三十人以上依人民團體法規定設立，並冠以學校名稱。</w:t>
      </w:r>
    </w:p>
    <w:p>
      <w:pPr>
        <w:pStyle w:val="Normal"/>
        <w:overflowPunct w:val="false"/>
        <w:spacing w:lineRule="exact" w:line="460"/>
        <w:ind w:left="1399" w:right="77" w:firstLine="546"/>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學校（包括附設幼兒園）班級數少於二十班時，學校教師會得由同級學校專任教師三十人以上跨校、跨區（鄉、鎮），依人民團體法規定設立；其名稱由共同組成之學校教師協商訂定。</w:t>
      </w:r>
    </w:p>
    <w:p>
      <w:pPr>
        <w:pStyle w:val="Normal"/>
        <w:overflowPunct w:val="false"/>
        <w:spacing w:lineRule="exact" w:line="460"/>
        <w:ind w:left="1399" w:right="77" w:firstLine="546"/>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依第一項規定設立學校教師會之學校，其教師不得再跨校、跨區（鄉、鎮）參加學校教師會。</w:t>
      </w:r>
    </w:p>
    <w:p>
      <w:pPr>
        <w:pStyle w:val="112"/>
        <w:tabs>
          <w:tab w:val="clear" w:pos="50"/>
          <w:tab w:val="left" w:pos="658" w:leader="none"/>
        </w:tabs>
        <w:overflowPunct w:val="false"/>
        <w:snapToGrid w:val="false"/>
        <w:spacing w:lineRule="exact" w:line="460"/>
        <w:ind w:left="1386" w:right="-31" w:hanging="1400"/>
        <w:jc w:val="distribute"/>
        <w:rPr>
          <w:color w:val="auto"/>
        </w:rPr>
      </w:pPr>
      <w:r>
        <w:rPr>
          <w:rFonts w:ascii="標楷體" w:hAnsi="標楷體" w:cs="細明體" w:eastAsia="標楷體"/>
          <w:color w:val="auto"/>
          <w:kern w:val="0"/>
          <w:sz w:val="28"/>
          <w:szCs w:val="28"/>
          <w:lang w:val="zh-TW"/>
        </w:rPr>
        <w:t>第二十四條　　各級教師會應依</w:t>
      </w:r>
      <w:r>
        <w:rPr>
          <w:rFonts w:ascii="標楷體" w:hAnsi="標楷體" w:cs="細明體" w:eastAsia="標楷體"/>
          <w:color w:val="auto"/>
          <w:kern w:val="0"/>
          <w:sz w:val="28"/>
          <w:szCs w:val="28"/>
        </w:rPr>
        <w:t>人民團體相關規定，於成立大會後三十日內，檢具章程、會員名冊、選任職員簡歷冊，報請</w:t>
      </w:r>
      <w:r>
        <w:rPr>
          <w:rFonts w:ascii="標楷體" w:hAnsi="標楷體" w:cs="細明體" w:eastAsia="標楷體"/>
          <w:color w:val="auto"/>
          <w:kern w:val="0"/>
          <w:sz w:val="28"/>
          <w:szCs w:val="28"/>
          <w:lang w:val="zh-TW"/>
        </w:rPr>
        <w:t>所在地人民團體</w:t>
      </w:r>
      <w:r>
        <w:rPr>
          <w:rFonts w:ascii="標楷體" w:hAnsi="標楷體" w:cs="細明體" w:eastAsia="標楷體"/>
          <w:color w:val="auto"/>
          <w:kern w:val="0"/>
          <w:sz w:val="28"/>
          <w:szCs w:val="28"/>
        </w:rPr>
        <w:t>主管機關立案。</w:t>
      </w:r>
    </w:p>
    <w:p>
      <w:pPr>
        <w:pStyle w:val="Normal"/>
        <w:overflowPunct w:val="false"/>
        <w:spacing w:lineRule="exact" w:line="460"/>
        <w:ind w:left="1399" w:right="77" w:firstLine="546"/>
        <w:jc w:val="distribute"/>
        <w:rPr>
          <w:color w:val="auto"/>
        </w:rPr>
      </w:pPr>
      <w:r>
        <w:rPr>
          <w:rFonts w:ascii="標楷體" w:hAnsi="標楷體" w:cs="細明體" w:eastAsia="標楷體"/>
          <w:color w:val="auto"/>
          <w:kern w:val="0"/>
          <w:sz w:val="28"/>
          <w:szCs w:val="28"/>
        </w:rPr>
        <w:t>前項人民團體主管機關於各級教師會立案後，除發給立案證書及圖記</w:t>
      </w:r>
      <w:r>
        <w:rPr>
          <w:rFonts w:ascii="標楷體" w:hAnsi="標楷體" w:cs="細明體" w:eastAsia="標楷體"/>
          <w:color w:val="auto"/>
          <w:kern w:val="0"/>
          <w:sz w:val="28"/>
          <w:szCs w:val="28"/>
          <w:lang w:val="zh-TW"/>
        </w:rPr>
        <w:t>外，並應通知本法之主管機關。</w:t>
      </w:r>
    </w:p>
    <w:p>
      <w:pPr>
        <w:pStyle w:val="112"/>
        <w:tabs>
          <w:tab w:val="clear" w:pos="50"/>
          <w:tab w:val="left" w:pos="658" w:leader="none"/>
        </w:tabs>
        <w:overflowPunct w:val="false"/>
        <w:snapToGrid w:val="false"/>
        <w:spacing w:lineRule="exact" w:line="460"/>
        <w:ind w:left="1386" w:right="-31" w:hanging="1400"/>
        <w:jc w:val="distribute"/>
        <w:rPr>
          <w:rFonts w:ascii="標楷體" w:hAnsi="標楷體" w:eastAsia="標楷體" w:cs="細明體"/>
          <w:color w:val="auto"/>
          <w:kern w:val="0"/>
          <w:sz w:val="28"/>
          <w:szCs w:val="28"/>
          <w:lang w:val="zh-TW"/>
        </w:rPr>
      </w:pPr>
      <w:r>
        <w:rPr>
          <w:rFonts w:ascii="標楷體" w:hAnsi="標楷體" w:cs="細明體" w:eastAsia="標楷體"/>
          <w:color w:val="auto"/>
          <w:kern w:val="0"/>
          <w:sz w:val="28"/>
          <w:szCs w:val="28"/>
          <w:lang w:val="zh-TW"/>
        </w:rPr>
        <w:t xml:space="preserve">第二十五條　　地方教師會以直轄市、縣 </w:t>
      </w:r>
      <w:r>
        <w:rPr>
          <w:rFonts w:eastAsia="標楷體" w:cs="細明體" w:ascii="標楷體" w:hAnsi="標楷體"/>
          <w:color w:val="auto"/>
          <w:kern w:val="0"/>
          <w:sz w:val="28"/>
          <w:szCs w:val="28"/>
          <w:lang w:val="zh-TW"/>
        </w:rPr>
        <w:t>(</w:t>
      </w:r>
      <w:r>
        <w:rPr>
          <w:rFonts w:ascii="標楷體" w:hAnsi="標楷體" w:cs="細明體" w:eastAsia="標楷體"/>
          <w:color w:val="auto"/>
          <w:kern w:val="0"/>
          <w:sz w:val="28"/>
          <w:szCs w:val="28"/>
          <w:lang w:val="zh-TW"/>
        </w:rPr>
        <w:t>市</w:t>
      </w:r>
      <w:r>
        <w:rPr>
          <w:rFonts w:eastAsia="標楷體" w:cs="細明體" w:ascii="標楷體" w:hAnsi="標楷體"/>
          <w:color w:val="auto"/>
          <w:kern w:val="0"/>
          <w:sz w:val="28"/>
          <w:szCs w:val="28"/>
          <w:lang w:val="zh-TW"/>
        </w:rPr>
        <w:t xml:space="preserve">) </w:t>
      </w:r>
      <w:r>
        <w:rPr>
          <w:rFonts w:ascii="標楷體" w:hAnsi="標楷體" w:cs="細明體" w:eastAsia="標楷體"/>
          <w:color w:val="auto"/>
          <w:kern w:val="0"/>
          <w:sz w:val="28"/>
          <w:szCs w:val="28"/>
          <w:lang w:val="zh-TW"/>
        </w:rPr>
        <w:t>為其組織區域，並冠以各該區域之名稱；全國教師會應冠以中華民國國號。</w:t>
      </w:r>
    </w:p>
    <w:p>
      <w:pPr>
        <w:pStyle w:val="112"/>
        <w:tabs>
          <w:tab w:val="clear" w:pos="50"/>
          <w:tab w:val="left" w:pos="658" w:leader="none"/>
        </w:tabs>
        <w:overflowPunct w:val="false"/>
        <w:snapToGrid w:val="false"/>
        <w:spacing w:lineRule="exact" w:line="460"/>
        <w:ind w:left="1386" w:right="-31" w:hanging="1400"/>
        <w:jc w:val="distribute"/>
        <w:rPr>
          <w:color w:val="auto"/>
        </w:rPr>
      </w:pPr>
      <w:r>
        <w:rPr>
          <w:rFonts w:ascii="標楷體" w:hAnsi="標楷體" w:cs="細明體" w:eastAsia="標楷體"/>
          <w:color w:val="auto"/>
          <w:kern w:val="0"/>
          <w:sz w:val="28"/>
          <w:szCs w:val="28"/>
          <w:lang w:val="zh-TW"/>
        </w:rPr>
        <w:t>第二十六條　　本法第三十九條第四項前段所稱行政區內半數以上學校教師會，指行政區內</w:t>
      </w:r>
      <w:r>
        <w:rPr>
          <w:rFonts w:ascii="標楷體" w:hAnsi="標楷體" w:eastAsia="標楷體"/>
          <w:color w:val="auto"/>
          <w:sz w:val="28"/>
          <w:szCs w:val="28"/>
        </w:rPr>
        <w:t>成立之教師會</w:t>
      </w:r>
      <w:r>
        <w:rPr>
          <w:rFonts w:ascii="標楷體" w:hAnsi="標楷體" w:cs="細明體" w:eastAsia="標楷體"/>
          <w:color w:val="auto"/>
          <w:kern w:val="0"/>
          <w:sz w:val="28"/>
          <w:szCs w:val="28"/>
          <w:lang w:val="zh-TW"/>
        </w:rPr>
        <w:t>之半數以上。</w:t>
      </w:r>
    </w:p>
    <w:p>
      <w:pPr>
        <w:pStyle w:val="112"/>
        <w:tabs>
          <w:tab w:val="clear" w:pos="50"/>
          <w:tab w:val="left" w:pos="658" w:leader="none"/>
        </w:tabs>
        <w:overflowPunct w:val="false"/>
        <w:snapToGrid w:val="false"/>
        <w:spacing w:lineRule="exact" w:line="460"/>
        <w:ind w:left="1386" w:right="-31" w:hanging="1400"/>
        <w:jc w:val="distribute"/>
        <w:rPr>
          <w:rFonts w:ascii="標楷體" w:hAnsi="標楷體" w:eastAsia="標楷體"/>
          <w:color w:val="auto"/>
          <w:kern w:val="0"/>
          <w:sz w:val="28"/>
          <w:szCs w:val="28"/>
        </w:rPr>
      </w:pPr>
      <w:r>
        <w:rPr>
          <w:rFonts w:ascii="標楷體" w:hAnsi="標楷體" w:eastAsia="標楷體"/>
          <w:color w:val="auto"/>
          <w:kern w:val="0"/>
          <w:sz w:val="28"/>
          <w:szCs w:val="28"/>
        </w:rPr>
        <w:t>第二十七條　　本法中華民國一百零九年六月三十日修正施行前之教師解聘、不續聘、停聘及資遣案尚未生效者，應依本法修正施行後之規定辦理。</w:t>
      </w:r>
    </w:p>
    <w:p>
      <w:pPr>
        <w:pStyle w:val="Normal"/>
        <w:overflowPunct w:val="false"/>
        <w:spacing w:lineRule="exact" w:line="460"/>
        <w:ind w:left="1399" w:right="77" w:firstLine="546"/>
        <w:jc w:val="distribute"/>
        <w:rPr>
          <w:rFonts w:ascii="標楷體" w:hAnsi="標楷體" w:eastAsia="標楷體"/>
          <w:color w:val="auto"/>
          <w:kern w:val="0"/>
          <w:sz w:val="28"/>
          <w:szCs w:val="28"/>
        </w:rPr>
      </w:pPr>
      <w:r>
        <w:rPr>
          <w:rFonts w:ascii="標楷體" w:hAnsi="標楷體" w:eastAsia="標楷體"/>
          <w:color w:val="auto"/>
          <w:kern w:val="0"/>
          <w:sz w:val="28"/>
          <w:szCs w:val="28"/>
        </w:rPr>
        <w:t>本法中華民國一百零九年六月三十日修正施行前，經學校認定有本法修正施行前之第十四條第一項第一款至第五款或第十款至第十三款規定之情事，且報經主管機關核准之暫時予以停聘案，其暫時停聘期間，為本法修正施行日起算至多三個月；必要時，得依本法第二十二條第二項延長停聘期間之規定辦理。</w:t>
      </w:r>
    </w:p>
    <w:p>
      <w:pPr>
        <w:pStyle w:val="Normal"/>
        <w:overflowPunct w:val="false"/>
        <w:spacing w:lineRule="exact" w:line="460"/>
        <w:ind w:left="1399" w:right="77" w:firstLine="546"/>
        <w:jc w:val="distribute"/>
        <w:rPr>
          <w:rFonts w:ascii="標楷體" w:hAnsi="標楷體" w:eastAsia="標楷體"/>
          <w:color w:val="auto"/>
          <w:kern w:val="0"/>
          <w:sz w:val="28"/>
          <w:szCs w:val="28"/>
        </w:rPr>
      </w:pPr>
      <w:r>
        <w:rPr>
          <w:rFonts w:ascii="標楷體" w:hAnsi="標楷體" w:eastAsia="標楷體"/>
          <w:color w:val="auto"/>
          <w:kern w:val="0"/>
          <w:sz w:val="28"/>
          <w:szCs w:val="28"/>
        </w:rPr>
        <w:t>本法中華民國一百零九年六月三十日修正施行前，經學校認定有本法修正施行前之第十四條第一項第八款、第九款規定之情事，且經教師評審委員會審議通過之暫時予以停聘案，其暫時停聘期間，為本法修正施行日起算至多六個月；必要時，得依本法第二十二條第一項規定延長停聘期間之規定辦理。</w:t>
      </w:r>
    </w:p>
    <w:p>
      <w:pPr>
        <w:pStyle w:val="Normal"/>
        <w:overflowPunct w:val="false"/>
        <w:spacing w:lineRule="exact" w:line="460"/>
        <w:ind w:left="1399" w:right="77" w:firstLine="546"/>
        <w:jc w:val="distribute"/>
        <w:rPr>
          <w:rFonts w:ascii="標楷體" w:hAnsi="標楷體" w:eastAsia="標楷體"/>
          <w:color w:val="auto"/>
          <w:kern w:val="0"/>
          <w:sz w:val="28"/>
          <w:szCs w:val="28"/>
        </w:rPr>
      </w:pPr>
      <w:r>
        <w:rPr>
          <w:rFonts w:ascii="標楷體" w:hAnsi="標楷體" w:eastAsia="標楷體"/>
          <w:color w:val="auto"/>
          <w:kern w:val="0"/>
          <w:sz w:val="28"/>
          <w:szCs w:val="28"/>
        </w:rPr>
        <w:t>本法中華民國一百零九年六月三十日修正施行前，經主管機關核准之教師終局停聘案，於本法修正施行日起，學校應依下列規定辦理：</w:t>
      </w:r>
    </w:p>
    <w:p>
      <w:pPr>
        <w:pStyle w:val="ListParagraph"/>
        <w:numPr>
          <w:ilvl w:val="0"/>
          <w:numId w:val="4"/>
        </w:numPr>
        <w:tabs>
          <w:tab w:val="clear" w:pos="50"/>
          <w:tab w:val="left" w:pos="2338" w:leader="none"/>
          <w:tab w:val="left" w:pos="2492" w:leader="none"/>
        </w:tabs>
        <w:overflowPunct w:val="false"/>
        <w:spacing w:lineRule="exact" w:line="460" w:before="0" w:after="0"/>
        <w:ind w:left="2534" w:right="120" w:hanging="574"/>
        <w:contextualSpacing/>
        <w:jc w:val="distribute"/>
        <w:rPr>
          <w:rFonts w:ascii="標楷體" w:hAnsi="標楷體" w:eastAsia="標楷體"/>
          <w:color w:val="auto"/>
          <w:kern w:val="0"/>
          <w:sz w:val="28"/>
          <w:szCs w:val="28"/>
        </w:rPr>
      </w:pPr>
      <w:r>
        <w:rPr>
          <w:rFonts w:ascii="標楷體" w:hAnsi="標楷體" w:eastAsia="標楷體"/>
          <w:color w:val="auto"/>
          <w:kern w:val="0"/>
          <w:sz w:val="28"/>
          <w:szCs w:val="28"/>
        </w:rPr>
        <w:t>符合下列情形之一者，學校應予復聘：</w:t>
      </w:r>
    </w:p>
    <w:p>
      <w:pPr>
        <w:pStyle w:val="ListParagraph"/>
        <w:overflowPunct w:val="false"/>
        <w:spacing w:lineRule="exact" w:line="460"/>
        <w:ind w:left="1012" w:right="103" w:firstLine="1200"/>
        <w:jc w:val="distribute"/>
        <w:rPr>
          <w:rFonts w:ascii="標楷體" w:hAnsi="標楷體" w:eastAsia="標楷體"/>
          <w:color w:val="auto"/>
          <w:kern w:val="0"/>
          <w:sz w:val="28"/>
          <w:szCs w:val="28"/>
        </w:rPr>
      </w:pPr>
      <w:r>
        <w:rPr>
          <w:rFonts w:eastAsia="標楷體" w:ascii="標楷體" w:hAnsi="標楷體"/>
          <w:color w:val="auto"/>
          <w:kern w:val="0"/>
          <w:sz w:val="28"/>
          <w:szCs w:val="28"/>
        </w:rPr>
        <w:t>(</w:t>
      </w:r>
      <w:r>
        <w:rPr>
          <w:rFonts w:ascii="標楷體" w:hAnsi="標楷體" w:eastAsia="標楷體"/>
          <w:color w:val="auto"/>
          <w:kern w:val="0"/>
          <w:sz w:val="28"/>
          <w:szCs w:val="28"/>
        </w:rPr>
        <w:t>一</w:t>
      </w:r>
      <w:r>
        <w:rPr>
          <w:rFonts w:eastAsia="標楷體" w:ascii="標楷體" w:hAnsi="標楷體"/>
          <w:color w:val="auto"/>
          <w:kern w:val="0"/>
          <w:sz w:val="28"/>
          <w:szCs w:val="28"/>
        </w:rPr>
        <w:t>)</w:t>
        <w:tab/>
      </w:r>
      <w:r>
        <w:rPr>
          <w:rFonts w:ascii="標楷體" w:hAnsi="標楷體" w:eastAsia="標楷體"/>
          <w:color w:val="auto"/>
          <w:kern w:val="0"/>
          <w:sz w:val="28"/>
          <w:szCs w:val="28"/>
        </w:rPr>
        <w:t>終局停聘期間屆滿。</w:t>
      </w:r>
    </w:p>
    <w:p>
      <w:pPr>
        <w:pStyle w:val="ListParagraph"/>
        <w:overflowPunct w:val="false"/>
        <w:spacing w:lineRule="exact" w:line="460"/>
        <w:ind w:left="1012" w:right="103" w:firstLine="1200"/>
        <w:jc w:val="distribute"/>
        <w:rPr>
          <w:rFonts w:ascii="標楷體" w:hAnsi="標楷體" w:eastAsia="標楷體"/>
          <w:color w:val="auto"/>
          <w:kern w:val="0"/>
          <w:sz w:val="28"/>
          <w:szCs w:val="28"/>
        </w:rPr>
      </w:pPr>
      <w:r>
        <w:rPr>
          <w:rFonts w:eastAsia="標楷體" w:ascii="標楷體" w:hAnsi="標楷體"/>
          <w:color w:val="auto"/>
          <w:kern w:val="0"/>
          <w:sz w:val="28"/>
          <w:szCs w:val="28"/>
        </w:rPr>
        <w:t>(</w:t>
      </w:r>
      <w:r>
        <w:rPr>
          <w:rFonts w:ascii="標楷體" w:hAnsi="標楷體" w:eastAsia="標楷體"/>
          <w:color w:val="auto"/>
          <w:kern w:val="0"/>
          <w:sz w:val="28"/>
          <w:szCs w:val="28"/>
        </w:rPr>
        <w:t>二</w:t>
      </w:r>
      <w:r>
        <w:rPr>
          <w:rFonts w:eastAsia="標楷體" w:ascii="標楷體" w:hAnsi="標楷體"/>
          <w:color w:val="auto"/>
          <w:kern w:val="0"/>
          <w:sz w:val="28"/>
          <w:szCs w:val="28"/>
        </w:rPr>
        <w:t>)</w:t>
        <w:tab/>
      </w:r>
      <w:r>
        <w:rPr>
          <w:rFonts w:ascii="標楷體" w:hAnsi="標楷體" w:eastAsia="標楷體"/>
          <w:color w:val="auto"/>
          <w:kern w:val="0"/>
          <w:sz w:val="28"/>
          <w:szCs w:val="28"/>
        </w:rPr>
        <w:t>終局停聘期間執行滿三年。</w:t>
      </w:r>
    </w:p>
    <w:p>
      <w:pPr>
        <w:pStyle w:val="ListParagraph"/>
        <w:numPr>
          <w:ilvl w:val="0"/>
          <w:numId w:val="4"/>
        </w:numPr>
        <w:tabs>
          <w:tab w:val="clear" w:pos="50"/>
          <w:tab w:val="left" w:pos="2492" w:leader="none"/>
          <w:tab w:val="left" w:pos="2520" w:leader="none"/>
        </w:tabs>
        <w:overflowPunct w:val="false"/>
        <w:spacing w:lineRule="exact" w:line="460" w:before="0" w:after="0"/>
        <w:ind w:left="2534" w:right="120" w:hanging="574"/>
        <w:contextualSpacing/>
        <w:jc w:val="distribute"/>
        <w:rPr>
          <w:rFonts w:ascii="標楷體" w:hAnsi="標楷體" w:eastAsia="標楷體"/>
          <w:color w:val="auto"/>
          <w:kern w:val="0"/>
          <w:sz w:val="28"/>
          <w:szCs w:val="28"/>
        </w:rPr>
      </w:pPr>
      <w:r>
        <w:rPr>
          <w:rFonts w:eastAsia="標楷體" w:ascii="標楷體" w:hAnsi="標楷體"/>
          <w:color w:val="auto"/>
          <w:kern w:val="0"/>
          <w:sz w:val="28"/>
          <w:szCs w:val="28"/>
        </w:rPr>
        <w:tab/>
      </w:r>
      <w:r>
        <w:rPr>
          <w:rFonts w:ascii="標楷體" w:hAnsi="標楷體" w:eastAsia="標楷體"/>
          <w:color w:val="auto"/>
          <w:kern w:val="0"/>
          <w:sz w:val="28"/>
          <w:szCs w:val="28"/>
        </w:rPr>
        <w:t>終局停聘期間未逾三年且未屆滿者：至屆滿後復聘。</w:t>
      </w:r>
    </w:p>
    <w:p>
      <w:pPr>
        <w:pStyle w:val="ListParagraph"/>
        <w:numPr>
          <w:ilvl w:val="0"/>
          <w:numId w:val="4"/>
        </w:numPr>
        <w:tabs>
          <w:tab w:val="clear" w:pos="50"/>
          <w:tab w:val="left" w:pos="2338" w:leader="none"/>
          <w:tab w:val="left" w:pos="2492" w:leader="none"/>
        </w:tabs>
        <w:overflowPunct w:val="false"/>
        <w:spacing w:lineRule="exact" w:line="460" w:before="0" w:after="0"/>
        <w:ind w:left="2534" w:right="120" w:hanging="574"/>
        <w:contextualSpacing/>
        <w:jc w:val="distribute"/>
        <w:rPr>
          <w:rFonts w:ascii="標楷體" w:hAnsi="標楷體" w:eastAsia="標楷體"/>
          <w:color w:val="auto"/>
          <w:kern w:val="0"/>
          <w:sz w:val="28"/>
          <w:szCs w:val="28"/>
        </w:rPr>
      </w:pPr>
      <w:r>
        <w:rPr>
          <w:rFonts w:eastAsia="標楷體" w:ascii="標楷體" w:hAnsi="標楷體"/>
          <w:color w:val="auto"/>
          <w:kern w:val="0"/>
          <w:sz w:val="28"/>
          <w:szCs w:val="28"/>
        </w:rPr>
        <w:tab/>
      </w:r>
      <w:r>
        <w:rPr>
          <w:rFonts w:ascii="標楷體" w:hAnsi="標楷體" w:eastAsia="標楷體"/>
          <w:color w:val="auto"/>
          <w:kern w:val="0"/>
          <w:sz w:val="28"/>
          <w:szCs w:val="28"/>
        </w:rPr>
        <w:t>終局停聘期間逾三年且未屆滿者：至執行滿三年後復聘。</w:t>
      </w:r>
    </w:p>
    <w:p>
      <w:pPr>
        <w:pStyle w:val="ListParagraph"/>
        <w:numPr>
          <w:ilvl w:val="0"/>
          <w:numId w:val="4"/>
        </w:numPr>
        <w:tabs>
          <w:tab w:val="clear" w:pos="50"/>
          <w:tab w:val="left" w:pos="2338" w:leader="none"/>
          <w:tab w:val="left" w:pos="2492" w:leader="none"/>
        </w:tabs>
        <w:overflowPunct w:val="false"/>
        <w:spacing w:lineRule="exact" w:line="460" w:before="0" w:after="0"/>
        <w:ind w:left="2534" w:right="120" w:hanging="574"/>
        <w:contextualSpacing/>
        <w:jc w:val="distribute"/>
        <w:rPr>
          <w:rFonts w:ascii="標楷體" w:hAnsi="標楷體" w:eastAsia="標楷體"/>
          <w:color w:val="auto"/>
          <w:kern w:val="0"/>
          <w:sz w:val="28"/>
          <w:szCs w:val="28"/>
        </w:rPr>
      </w:pPr>
      <w:r>
        <w:rPr>
          <w:rFonts w:eastAsia="標楷體" w:ascii="標楷體" w:hAnsi="標楷體"/>
          <w:color w:val="auto"/>
          <w:kern w:val="0"/>
          <w:sz w:val="28"/>
          <w:szCs w:val="28"/>
        </w:rPr>
        <w:tab/>
      </w:r>
      <w:r>
        <w:rPr>
          <w:rFonts w:ascii="標楷體" w:hAnsi="標楷體" w:eastAsia="標楷體"/>
          <w:color w:val="auto"/>
          <w:kern w:val="0"/>
          <w:sz w:val="28"/>
          <w:szCs w:val="28"/>
        </w:rPr>
        <w:t>終局停聘未定期間且執行未滿三年者：學校應即召開教師評審委員會，依本法第十八條第一項規定作成終局停聘期間之決議，於併計本法修正施行前已執行之期間至終局停聘期間屆滿後復聘。</w:t>
      </w:r>
    </w:p>
    <w:p>
      <w:pPr>
        <w:pStyle w:val="Normal"/>
        <w:overflowPunct w:val="false"/>
        <w:spacing w:lineRule="exact" w:line="460"/>
        <w:ind w:left="1399" w:right="77" w:firstLine="546"/>
        <w:jc w:val="distribute"/>
        <w:rPr>
          <w:rFonts w:ascii="標楷體" w:hAnsi="標楷體" w:eastAsia="標楷體"/>
          <w:color w:val="auto"/>
          <w:kern w:val="0"/>
          <w:sz w:val="28"/>
          <w:szCs w:val="28"/>
        </w:rPr>
      </w:pPr>
      <w:r>
        <w:rPr>
          <w:rFonts w:ascii="標楷體" w:hAnsi="標楷體" w:eastAsia="標楷體"/>
          <w:color w:val="auto"/>
          <w:kern w:val="0"/>
          <w:sz w:val="28"/>
          <w:szCs w:val="28"/>
        </w:rPr>
        <w:t>於本法修正施行後回復聘任者，其於本法中華民國一百零九年六月三十日修正施行前已執行之停聘期間本薪（年功薪）之補發，依本法修正施行前之第十四條之三規定辦理。</w:t>
      </w:r>
    </w:p>
    <w:p>
      <w:pPr>
        <w:pStyle w:val="112"/>
        <w:tabs>
          <w:tab w:val="clear" w:pos="50"/>
          <w:tab w:val="left" w:pos="658" w:leader="none"/>
        </w:tabs>
        <w:overflowPunct w:val="false"/>
        <w:snapToGrid w:val="false"/>
        <w:spacing w:lineRule="exact" w:line="460"/>
        <w:ind w:left="1386" w:right="-31" w:hanging="1400"/>
        <w:jc w:val="distribute"/>
        <w:rPr>
          <w:color w:val="auto"/>
        </w:rPr>
      </w:pPr>
      <w:r>
        <w:rPr>
          <w:rFonts w:ascii="標楷體" w:hAnsi="標楷體" w:cs="細明體" w:eastAsia="標楷體"/>
          <w:color w:val="auto"/>
          <w:kern w:val="0"/>
          <w:sz w:val="28"/>
          <w:szCs w:val="28"/>
          <w:lang w:val="zh-TW"/>
        </w:rPr>
        <w:t>第二十八條　　本細則自發布日施行</w:t>
      </w:r>
      <w:r>
        <w:rPr>
          <w:rFonts w:ascii="標楷體" w:hAnsi="標楷體" w:eastAsia="標楷體"/>
          <w:color w:val="auto"/>
          <w:kern w:val="0"/>
          <w:sz w:val="28"/>
          <w:szCs w:val="28"/>
        </w:rPr>
        <w:t>。</w:t>
      </w:r>
    </w:p>
    <w:sectPr>
      <w:headerReference w:type="default" r:id="rId2"/>
      <w:footerReference w:type="default" r:id="rId3"/>
      <w:type w:val="nextPage"/>
      <w:pgSz w:w="11906" w:h="16838"/>
      <w:pgMar w:left="1701" w:right="1418" w:header="851" w:top="1418" w:footer="607"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Arial">
    <w:charset w:val="88"/>
    <w:family w:val="roman"/>
    <w:pitch w:val="variable"/>
  </w:font>
  <w:font w:name="Times New Roman">
    <w:charset w:val="88"/>
    <w:family w:val="roman"/>
    <w:pitch w:val="variable"/>
  </w:font>
  <w:font w:name="細明體">
    <w:charset w:val="88"/>
    <w:family w:val="roman"/>
    <w:pitch w:val="variable"/>
  </w:font>
  <w:font w:name="標楷體">
    <w:charset w:val="88"/>
    <w:family w:val="roman"/>
    <w:pitch w:val="variable"/>
  </w:font>
  <w:font w:name="Calibri Light">
    <w:charset w:val="88"/>
    <w:family w:val="roman"/>
    <w:pitch w:val="variable"/>
  </w:font>
  <w:font w:name="新細明體">
    <w:charset w:val="88"/>
    <w:family w:val="roman"/>
    <w:pitch w:val="variable"/>
  </w:font>
  <w:font w:name="Liberation Sans">
    <w:altName w:val="Arial"/>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84"/>
      <w:jc w:val="center"/>
      <w:rPr/>
    </w:pPr>
    <w:r>
      <w:rPr/>
      <w:fldChar w:fldCharType="begin"/>
    </w:r>
    <w:r>
      <w:rPr/>
      <w:instrText> PAGE </w:instrText>
    </w:r>
    <w:r>
      <w:rPr/>
      <w:fldChar w:fldCharType="separate"/>
    </w:r>
    <w:r>
      <w:rPr/>
      <w:t>6</w:t>
    </w:r>
    <w:r>
      <w:rPr/>
      <w:fldChar w:fldCharType="end"/>
    </w:r>
  </w:p>
  <w:p>
    <w:pPr>
      <w:pStyle w:val="Style8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85"/>
      <w:jc w:val="right"/>
      <w:rPr>
        <w:rFonts w:ascii="標楷體" w:hAnsi="標楷體" w:eastAsia="標楷體"/>
      </w:rPr>
    </w:pPr>
    <w:r>
      <w:rPr>
        <w:rFonts w:eastAsia="標楷體" w:ascii="標楷體" w:hAnsi="標楷體"/>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taiwaneseCountingThousand"/>
      <w:lvlText w:val="%1、"/>
      <w:lvlJc w:val="left"/>
      <w:pPr>
        <w:tabs>
          <w:tab w:val="num" w:pos="1211"/>
        </w:tabs>
        <w:ind w:left="1211" w:hanging="360"/>
      </w:pPr>
      <w:rPr>
        <w:sz w:val="28"/>
        <w:b w:val="false"/>
        <w:rFonts w:ascii="標楷體" w:hAnsi="標楷體" w:eastAsia="標楷體"/>
        <w:color w:val="auto"/>
      </w:r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start w:val="1"/>
      <w:numFmt w:val="decimal"/>
      <w:lvlText w:val="%4."/>
      <w:lvlJc w:val="left"/>
      <w:pPr>
        <w:tabs>
          <w:tab w:val="num" w:pos="2945"/>
        </w:tabs>
        <w:ind w:left="2945" w:hanging="360"/>
      </w:pPr>
    </w:lvl>
    <w:lvl w:ilvl="4">
      <w:start w:val="1"/>
      <w:numFmt w:val="decimal"/>
      <w:lvlText w:val="%5."/>
      <w:lvlJc w:val="left"/>
      <w:pPr>
        <w:tabs>
          <w:tab w:val="num" w:pos="3665"/>
        </w:tabs>
        <w:ind w:left="3665" w:hanging="360"/>
      </w:pPr>
    </w:lvl>
    <w:lvl w:ilvl="5">
      <w:start w:val="1"/>
      <w:numFmt w:val="decimal"/>
      <w:lvlText w:val="%6."/>
      <w:lvlJc w:val="left"/>
      <w:pPr>
        <w:tabs>
          <w:tab w:val="num" w:pos="4385"/>
        </w:tabs>
        <w:ind w:left="4385" w:hanging="360"/>
      </w:pPr>
    </w:lvl>
    <w:lvl w:ilvl="6">
      <w:start w:val="1"/>
      <w:numFmt w:val="decimal"/>
      <w:lvlText w:val="%7."/>
      <w:lvlJc w:val="left"/>
      <w:pPr>
        <w:tabs>
          <w:tab w:val="num" w:pos="5105"/>
        </w:tabs>
        <w:ind w:left="5105" w:hanging="360"/>
      </w:pPr>
    </w:lvl>
    <w:lvl w:ilvl="7">
      <w:start w:val="1"/>
      <w:numFmt w:val="decimal"/>
      <w:lvlText w:val="%8."/>
      <w:lvlJc w:val="left"/>
      <w:pPr>
        <w:tabs>
          <w:tab w:val="num" w:pos="5825"/>
        </w:tabs>
        <w:ind w:left="5825" w:hanging="360"/>
      </w:pPr>
    </w:lvl>
    <w:lvl w:ilvl="8">
      <w:start w:val="1"/>
      <w:numFmt w:val="decimal"/>
      <w:lvlText w:val="%9."/>
      <w:lvlJc w:val="left"/>
      <w:pPr>
        <w:tabs>
          <w:tab w:val="num" w:pos="6545"/>
        </w:tabs>
        <w:ind w:left="6545" w:hanging="360"/>
      </w:pPr>
    </w:lvl>
  </w:abstractNum>
  <w:abstractNum w:abstractNumId="3">
    <w:lvl w:ilvl="0">
      <w:start w:val="1"/>
      <w:numFmt w:val="taiwaneseCountingThousand"/>
      <w:lvlText w:val="%1、"/>
      <w:lvlJc w:val="left"/>
      <w:pPr>
        <w:ind w:left="528" w:hanging="5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taiwaneseCountingThousand"/>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5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kern w:val="2"/>
        <w:sz w:val="24"/>
        <w:szCs w:val="22"/>
        <w:lang w:val="en-US" w:eastAsia="zh-TW" w:bidi="ar-SA"/>
      </w:rPr>
    </w:rPrDefault>
    <w:pPrDefault>
      <w:pPr/>
    </w:pPrDefault>
  </w:docDefaults>
  <w:style w:type="paragraph" w:styleId="Normal">
    <w:name w:val="Normal"/>
    <w:qFormat/>
    <w:pPr>
      <w:widowControl w:val="false"/>
      <w:kinsoku w:val="true"/>
      <w:overflowPunct w:val="true"/>
      <w:autoSpaceDE w:val="true"/>
      <w:bidi w:val="0"/>
      <w:jc w:val="left"/>
    </w:pPr>
    <w:rPr>
      <w:rFonts w:ascii="Calibri" w:hAnsi="Calibri" w:eastAsia="新細明體" w:cs="Tahoma"/>
      <w:color w:val="auto"/>
      <w:kern w:val="2"/>
      <w:sz w:val="24"/>
      <w:szCs w:val="22"/>
      <w:lang w:val="en-US" w:eastAsia="zh-TW" w:bidi="ar-SA"/>
    </w:rPr>
  </w:style>
  <w:style w:type="paragraph" w:styleId="1">
    <w:name w:val="Heading 1"/>
    <w:basedOn w:val="Normal"/>
    <w:next w:val="Normal"/>
    <w:qFormat/>
    <w:pPr>
      <w:keepNext w:val="true"/>
      <w:numPr>
        <w:ilvl w:val="0"/>
        <w:numId w:val="0"/>
      </w:numPr>
      <w:overflowPunct w:val="true"/>
      <w:spacing w:lineRule="auto" w:line="720" w:before="180" w:after="180"/>
      <w:jc w:val="distribute"/>
      <w:textAlignment w:val="center"/>
      <w:outlineLvl w:val="0"/>
    </w:pPr>
    <w:rPr>
      <w:rFonts w:ascii="Arial" w:hAnsi="Arial" w:eastAsia="方正新書宋" w:cs="Times New Roman"/>
      <w:b/>
      <w:bCs/>
      <w:kern w:val="2"/>
      <w:sz w:val="52"/>
      <w:szCs w:val="52"/>
    </w:rPr>
  </w:style>
  <w:style w:type="character" w:styleId="DefaultParagraphFont">
    <w:name w:val="Default Paragraph Font"/>
    <w:qFormat/>
    <w:rPr/>
  </w:style>
  <w:style w:type="character" w:styleId="11">
    <w:name w:val="標題 1 字元"/>
    <w:basedOn w:val="DefaultParagraphFont"/>
    <w:qFormat/>
    <w:rPr>
      <w:rFonts w:ascii="Arial" w:hAnsi="Arial" w:eastAsia="方正新書宋" w:cs="Times New Roman"/>
      <w:b/>
      <w:bCs/>
      <w:kern w:val="2"/>
      <w:sz w:val="52"/>
      <w:szCs w:val="52"/>
    </w:rPr>
  </w:style>
  <w:style w:type="character" w:styleId="Style13">
    <w:name w:val="頁尾 字元"/>
    <w:basedOn w:val="DefaultParagraphFont"/>
    <w:qFormat/>
    <w:rPr>
      <w:rFonts w:ascii="Times New Roman" w:hAnsi="Times New Roman" w:eastAsia="華康細明體" w:cs="Times New Roman"/>
      <w:kern w:val="0"/>
      <w:sz w:val="21"/>
      <w:szCs w:val="20"/>
    </w:rPr>
  </w:style>
  <w:style w:type="character" w:styleId="Style14">
    <w:name w:val="頁首 字元"/>
    <w:basedOn w:val="DefaultParagraphFont"/>
    <w:qFormat/>
    <w:rPr>
      <w:rFonts w:ascii="Times New Roman" w:hAnsi="Times New Roman" w:eastAsia="華康細明體" w:cs="Times New Roman"/>
      <w:kern w:val="0"/>
      <w:sz w:val="21"/>
      <w:szCs w:val="20"/>
    </w:rPr>
  </w:style>
  <w:style w:type="character" w:styleId="Pagenumber">
    <w:name w:val="page number"/>
    <w:qFormat/>
    <w:rPr/>
  </w:style>
  <w:style w:type="character" w:styleId="HTML">
    <w:name w:val="HTML 位址 字元"/>
    <w:basedOn w:val="DefaultParagraphFont"/>
    <w:qFormat/>
    <w:rPr>
      <w:rFonts w:ascii="Times New Roman" w:hAnsi="Times New Roman" w:eastAsia="華康細明體" w:cs="Times New Roman"/>
      <w:i/>
      <w:iCs/>
      <w:kern w:val="0"/>
      <w:sz w:val="21"/>
      <w:szCs w:val="24"/>
    </w:rPr>
  </w:style>
  <w:style w:type="character" w:styleId="HTML1">
    <w:name w:val="HTML 預設格式 字元"/>
    <w:basedOn w:val="DefaultParagraphFont"/>
    <w:qFormat/>
    <w:rPr>
      <w:rFonts w:ascii="細明體" w:hAnsi="細明體" w:eastAsia="細明體" w:cs="Times New Roman"/>
      <w:kern w:val="0"/>
      <w:sz w:val="20"/>
      <w:szCs w:val="24"/>
    </w:rPr>
  </w:style>
  <w:style w:type="character" w:styleId="Style15">
    <w:name w:val="問候 字元"/>
    <w:basedOn w:val="DefaultParagraphFont"/>
    <w:qFormat/>
    <w:rPr>
      <w:rFonts w:ascii="標楷體" w:hAnsi="標楷體" w:eastAsia="標楷體" w:cs="Times New Roman"/>
      <w:kern w:val="0"/>
      <w:sz w:val="21"/>
      <w:szCs w:val="24"/>
    </w:rPr>
  </w:style>
  <w:style w:type="character" w:styleId="Style16">
    <w:name w:val="結語 字元"/>
    <w:basedOn w:val="DefaultParagraphFont"/>
    <w:qFormat/>
    <w:rPr>
      <w:rFonts w:ascii="標楷體" w:hAnsi="標楷體" w:eastAsia="標楷體" w:cs="Times New Roman"/>
      <w:kern w:val="0"/>
      <w:sz w:val="21"/>
      <w:szCs w:val="24"/>
    </w:rPr>
  </w:style>
  <w:style w:type="character" w:styleId="Style17">
    <w:name w:val="註解方塊文字 字元"/>
    <w:basedOn w:val="DefaultParagraphFont"/>
    <w:qFormat/>
    <w:rPr>
      <w:rFonts w:ascii="Calibri Light" w:hAnsi="Calibri Light" w:eastAsia="新細明體" w:cs="Times New Roman"/>
      <w:kern w:val="0"/>
      <w:sz w:val="18"/>
      <w:szCs w:val="18"/>
    </w:rPr>
  </w:style>
  <w:style w:type="character" w:styleId="Style18">
    <w:name w:val="純文字 字元"/>
    <w:basedOn w:val="DefaultParagraphFont"/>
    <w:qFormat/>
    <w:rPr>
      <w:rFonts w:ascii="Calibri" w:hAnsi="Calibri" w:eastAsia="新細明體" w:cs="Times New Roman"/>
      <w:kern w:val="0"/>
      <w:sz w:val="20"/>
      <w:szCs w:val="24"/>
    </w:rPr>
  </w:style>
  <w:style w:type="character" w:styleId="Annotationreference">
    <w:name w:val="annotation reference"/>
    <w:qFormat/>
    <w:rPr>
      <w:sz w:val="18"/>
      <w:szCs w:val="18"/>
    </w:rPr>
  </w:style>
  <w:style w:type="character" w:styleId="Style19">
    <w:name w:val="註解文字 字元"/>
    <w:basedOn w:val="DefaultParagraphFont"/>
    <w:qFormat/>
    <w:rPr>
      <w:rFonts w:ascii="Times New Roman" w:hAnsi="Times New Roman" w:eastAsia="華康細明體" w:cs="Times New Roman"/>
      <w:sz w:val="21"/>
      <w:szCs w:val="24"/>
    </w:rPr>
  </w:style>
  <w:style w:type="character" w:styleId="Style20">
    <w:name w:val="註解主旨 字元"/>
    <w:basedOn w:val="Style19"/>
    <w:qFormat/>
    <w:rPr>
      <w:rFonts w:ascii="Times New Roman" w:hAnsi="Times New Roman" w:eastAsia="華康細明體" w:cs="Times New Roman"/>
      <w:b/>
      <w:bCs/>
      <w:sz w:val="21"/>
      <w:szCs w:val="24"/>
    </w:rPr>
  </w:style>
  <w:style w:type="character" w:styleId="Style21">
    <w:name w:val="網際網路連結"/>
    <w:rPr>
      <w:color w:val="0000FF"/>
      <w:u w:val="single"/>
    </w:rPr>
  </w:style>
  <w:style w:type="character" w:styleId="Style22">
    <w:name w:val="註腳文字 字元"/>
    <w:basedOn w:val="DefaultParagraphFont"/>
    <w:qFormat/>
    <w:rPr>
      <w:rFonts w:ascii="Times New Roman" w:hAnsi="Times New Roman" w:eastAsia="新細明體" w:cs="Times New Roman"/>
      <w:sz w:val="20"/>
      <w:szCs w:val="20"/>
    </w:rPr>
  </w:style>
  <w:style w:type="character" w:styleId="Style23">
    <w:name w:val="註腳錨定"/>
    <w:rPr>
      <w:vertAlign w:val="superscript"/>
    </w:rPr>
  </w:style>
  <w:style w:type="character" w:styleId="FootnoteCharacters">
    <w:name w:val="Footnote Characters"/>
    <w:qFormat/>
    <w:rPr>
      <w:vertAlign w:val="superscript"/>
    </w:rPr>
  </w:style>
  <w:style w:type="character" w:styleId="Style24">
    <w:name w:val="本文 字元"/>
    <w:basedOn w:val="DefaultParagraphFont"/>
    <w:qFormat/>
    <w:rPr>
      <w:rFonts w:ascii="新細明體" w:hAnsi="新細明體" w:eastAsia="新細明體" w:cs="Times New Roman"/>
      <w:kern w:val="0"/>
      <w:sz w:val="32"/>
      <w:szCs w:val="32"/>
      <w:lang w:eastAsia="en-US"/>
    </w:rPr>
  </w:style>
  <w:style w:type="character" w:styleId="PlaceholderText">
    <w:name w:val="Placeholder Text"/>
    <w:basedOn w:val="DefaultParagraphFont"/>
    <w:qFormat/>
    <w:rPr>
      <w:color w:val="808080"/>
    </w:rPr>
  </w:style>
  <w:style w:type="character" w:styleId="ListLabel1">
    <w:name w:val="ListLabel 1"/>
    <w:qFormat/>
    <w:rPr>
      <w:lang w:val="en-US"/>
    </w:rPr>
  </w:style>
  <w:style w:type="character" w:styleId="ListLabel2">
    <w:name w:val="ListLabel 2"/>
    <w:qFormat/>
    <w:rPr>
      <w:b w:val="false"/>
      <w:color w:val="auto"/>
    </w:rPr>
  </w:style>
  <w:style w:type="character" w:styleId="ListLabel3">
    <w:name w:val="ListLabel 3"/>
    <w:qFormat/>
    <w:rPr>
      <w:rFonts w:ascii="標楷體" w:hAnsi="標楷體" w:eastAsia="標楷體"/>
      <w:b w:val="false"/>
      <w:color w:val="auto"/>
      <w:sz w:val="28"/>
    </w:rPr>
  </w:style>
  <w:style w:type="character" w:styleId="ListLabel4">
    <w:name w:val="ListLabel 4"/>
    <w:qFormat/>
    <w:rPr>
      <w:b w:val="false"/>
      <w:lang w:val="en-US"/>
    </w:rPr>
  </w:style>
  <w:style w:type="character" w:styleId="ListLabel5">
    <w:name w:val="ListLabel 5"/>
    <w:qFormat/>
    <w:rPr>
      <w:color w:val="auto"/>
    </w:rPr>
  </w:style>
  <w:style w:type="paragraph" w:styleId="Style25">
    <w:name w:val="標題"/>
    <w:basedOn w:val="Normal"/>
    <w:next w:val="Style26"/>
    <w:qFormat/>
    <w:pPr>
      <w:keepNext w:val="true"/>
      <w:spacing w:before="240" w:after="120"/>
    </w:pPr>
    <w:rPr>
      <w:rFonts w:ascii="Liberation Sans" w:hAnsi="Liberation Sans" w:eastAsia="微軟正黑體" w:cs="Lucida Sans"/>
      <w:sz w:val="28"/>
      <w:szCs w:val="28"/>
    </w:rPr>
  </w:style>
  <w:style w:type="paragraph" w:styleId="Style26">
    <w:name w:val="Body Text"/>
    <w:basedOn w:val="Normal"/>
    <w:pPr/>
    <w:rPr>
      <w:rFonts w:ascii="新細明體" w:hAnsi="新細明體" w:eastAsia="新細明體" w:cs="Times New Roman"/>
      <w:kern w:val="0"/>
      <w:sz w:val="32"/>
      <w:szCs w:val="32"/>
      <w:lang w:eastAsia="en-US"/>
    </w:rPr>
  </w:style>
  <w:style w:type="paragraph" w:styleId="Style27">
    <w:name w:val="List"/>
    <w:basedOn w:val="Style26"/>
    <w:pPr/>
    <w:rPr>
      <w:rFonts w:cs="Lucida Sans"/>
    </w:rPr>
  </w:style>
  <w:style w:type="paragraph" w:styleId="Style28">
    <w:name w:val="Caption"/>
    <w:basedOn w:val="Normal"/>
    <w:qFormat/>
    <w:pPr>
      <w:suppressLineNumbers/>
      <w:spacing w:before="120" w:after="120"/>
    </w:pPr>
    <w:rPr>
      <w:rFonts w:cs="Lucida Sans"/>
      <w:i/>
      <w:iCs/>
      <w:sz w:val="24"/>
      <w:szCs w:val="24"/>
    </w:rPr>
  </w:style>
  <w:style w:type="paragraph" w:styleId="Style29">
    <w:name w:val="索引"/>
    <w:basedOn w:val="Normal"/>
    <w:qFormat/>
    <w:pPr>
      <w:suppressLineNumbers/>
    </w:pPr>
    <w:rPr>
      <w:rFonts w:cs="Lucida Sans"/>
    </w:rPr>
  </w:style>
  <w:style w:type="paragraph" w:styleId="Style30">
    <w:name w:val="一般項目符號"/>
    <w:basedOn w:val="Normal"/>
    <w:next w:val="Normal"/>
    <w:qFormat/>
    <w:pPr>
      <w:overflowPunct w:val="true"/>
      <w:ind w:left="210" w:right="0" w:firstLine="210"/>
      <w:jc w:val="distribute"/>
      <w:textAlignment w:val="center"/>
    </w:pPr>
    <w:rPr>
      <w:rFonts w:ascii="Times New Roman" w:hAnsi="Times New Roman" w:eastAsia="華康細明體" w:cs="Times New Roman"/>
      <w:kern w:val="0"/>
      <w:sz w:val="21"/>
      <w:szCs w:val="24"/>
    </w:rPr>
  </w:style>
  <w:style w:type="paragraph" w:styleId="Style31">
    <w:name w:val="說明"/>
    <w:basedOn w:val="Normal"/>
    <w:next w:val="Normal"/>
    <w:qFormat/>
    <w:pPr>
      <w:overflowPunct w:val="true"/>
      <w:spacing w:lineRule="exact" w:line="420"/>
      <w:ind w:left="300" w:right="0" w:hanging="300"/>
      <w:jc w:val="distribute"/>
      <w:textAlignment w:val="center"/>
    </w:pPr>
    <w:rPr>
      <w:rFonts w:ascii="Times New Roman" w:hAnsi="Times New Roman" w:eastAsia="華康細明體" w:cs="Times New Roman"/>
      <w:kern w:val="0"/>
      <w:sz w:val="21"/>
      <w:szCs w:val="24"/>
    </w:rPr>
  </w:style>
  <w:style w:type="paragraph" w:styleId="Style32">
    <w:name w:val="主旨"/>
    <w:basedOn w:val="Style31"/>
    <w:qFormat/>
    <w:pPr/>
    <w:rPr/>
  </w:style>
  <w:style w:type="paragraph" w:styleId="Style33">
    <w:name w:val="目"/>
    <w:basedOn w:val="Normal"/>
    <w:next w:val="Normal"/>
    <w:qFormat/>
    <w:pPr>
      <w:overflowPunct w:val="true"/>
      <w:spacing w:lineRule="exact" w:line="420"/>
      <w:ind w:left="100" w:right="0" w:hanging="100"/>
      <w:jc w:val="distribute"/>
      <w:textAlignment w:val="center"/>
    </w:pPr>
    <w:rPr>
      <w:rFonts w:ascii="Times New Roman" w:hAnsi="Times New Roman" w:eastAsia="華康細明體" w:cs="Times New Roman"/>
      <w:sz w:val="21"/>
      <w:szCs w:val="24"/>
    </w:rPr>
  </w:style>
  <w:style w:type="paragraph" w:styleId="12">
    <w:name w:val="目1"/>
    <w:basedOn w:val="Style33"/>
    <w:next w:val="Normal"/>
    <w:qFormat/>
    <w:pPr/>
    <w:rPr/>
  </w:style>
  <w:style w:type="paragraph" w:styleId="Style34">
    <w:name w:val="立法院關係文書標題"/>
    <w:basedOn w:val="Normal"/>
    <w:next w:val="Normal"/>
    <w:qFormat/>
    <w:pPr>
      <w:overflowPunct w:val="true"/>
      <w:snapToGrid w:val="false"/>
      <w:ind w:left="400" w:right="0" w:hanging="0"/>
      <w:jc w:val="distribute"/>
      <w:textAlignment w:val="center"/>
    </w:pPr>
    <w:rPr>
      <w:rFonts w:ascii="Times New Roman" w:hAnsi="Times New Roman" w:eastAsia="華康楷書體W5" w:cs="Times New Roman"/>
      <w:kern w:val="0"/>
      <w:sz w:val="42"/>
      <w:szCs w:val="24"/>
    </w:rPr>
  </w:style>
  <w:style w:type="paragraph" w:styleId="Style35">
    <w:name w:val="印發及編號日期"/>
    <w:basedOn w:val="Normal"/>
    <w:qFormat/>
    <w:pPr>
      <w:overflowPunct w:val="true"/>
      <w:spacing w:lineRule="exact" w:line="210"/>
      <w:ind w:left="100" w:right="0" w:hanging="0"/>
      <w:jc w:val="center"/>
      <w:textAlignment w:val="center"/>
    </w:pPr>
    <w:rPr>
      <w:rFonts w:ascii="Times New Roman" w:hAnsi="Times New Roman" w:eastAsia="華康細明體" w:cs="Times New Roman"/>
      <w:kern w:val="0"/>
      <w:sz w:val="21"/>
      <w:szCs w:val="24"/>
    </w:rPr>
  </w:style>
  <w:style w:type="paragraph" w:styleId="Style36">
    <w:name w:val="次目錄次標題"/>
    <w:basedOn w:val="Normal"/>
    <w:next w:val="Normal"/>
    <w:qFormat/>
    <w:pPr>
      <w:overflowPunct w:val="true"/>
      <w:ind w:left="0" w:right="0" w:firstLine="100"/>
      <w:jc w:val="distribute"/>
      <w:textAlignment w:val="center"/>
    </w:pPr>
    <w:rPr>
      <w:rFonts w:ascii="Times New Roman" w:hAnsi="Times New Roman" w:eastAsia="華康細明體" w:cs="Times New Roman"/>
      <w:kern w:val="0"/>
      <w:sz w:val="28"/>
      <w:szCs w:val="24"/>
    </w:rPr>
  </w:style>
  <w:style w:type="paragraph" w:styleId="Style37">
    <w:name w:val="次目錄標題"/>
    <w:basedOn w:val="Normal"/>
    <w:next w:val="Normal"/>
    <w:qFormat/>
    <w:pPr>
      <w:overflowPunct w:val="true"/>
      <w:jc w:val="distribute"/>
      <w:textAlignment w:val="center"/>
    </w:pPr>
    <w:rPr>
      <w:rFonts w:ascii="Times New Roman" w:hAnsi="Times New Roman" w:eastAsia="華康細明體" w:cs="Times New Roman"/>
      <w:kern w:val="0"/>
      <w:sz w:val="28"/>
      <w:szCs w:val="24"/>
    </w:rPr>
  </w:style>
  <w:style w:type="paragraph" w:styleId="Style38">
    <w:name w:val="函件(主旨)"/>
    <w:basedOn w:val="Normal"/>
    <w:next w:val="Normal"/>
    <w:qFormat/>
    <w:pPr>
      <w:overflowPunct w:val="true"/>
      <w:spacing w:lineRule="exact" w:line="420"/>
      <w:ind w:left="300" w:right="0" w:hanging="300"/>
      <w:jc w:val="distribute"/>
      <w:textAlignment w:val="center"/>
    </w:pPr>
    <w:rPr>
      <w:rFonts w:ascii="Times New Roman" w:hAnsi="Times New Roman" w:eastAsia="華康細明體" w:cs="Times New Roman"/>
      <w:kern w:val="0"/>
      <w:sz w:val="21"/>
      <w:szCs w:val="24"/>
    </w:rPr>
  </w:style>
  <w:style w:type="paragraph" w:styleId="Style39">
    <w:name w:val="函件(正附本)"/>
    <w:basedOn w:val="Normal"/>
    <w:next w:val="Normal"/>
    <w:qFormat/>
    <w:pPr>
      <w:overflowPunct w:val="true"/>
      <w:spacing w:lineRule="exact" w:line="420"/>
      <w:ind w:left="300" w:right="0" w:hanging="300"/>
      <w:jc w:val="distribute"/>
      <w:textAlignment w:val="center"/>
    </w:pPr>
    <w:rPr>
      <w:rFonts w:ascii="Times New Roman" w:hAnsi="Times New Roman" w:eastAsia="華康細明體" w:cs="Times New Roman"/>
      <w:kern w:val="0"/>
      <w:sz w:val="21"/>
      <w:szCs w:val="24"/>
    </w:rPr>
  </w:style>
  <w:style w:type="paragraph" w:styleId="Style40">
    <w:name w:val="函件(正副本)"/>
    <w:basedOn w:val="Normal"/>
    <w:next w:val="Normal"/>
    <w:qFormat/>
    <w:pPr>
      <w:overflowPunct w:val="true"/>
      <w:spacing w:lineRule="exact" w:line="420"/>
      <w:ind w:left="300" w:right="0" w:hanging="300"/>
      <w:jc w:val="distribute"/>
      <w:textAlignment w:val="center"/>
    </w:pPr>
    <w:rPr>
      <w:rFonts w:ascii="Times New Roman" w:hAnsi="Times New Roman" w:eastAsia="華康細明體" w:cs="Times New Roman"/>
      <w:kern w:val="0"/>
      <w:sz w:val="21"/>
      <w:szCs w:val="24"/>
    </w:rPr>
  </w:style>
  <w:style w:type="paragraph" w:styleId="Style41">
    <w:name w:val="函件(正副本內文)"/>
    <w:basedOn w:val="Normal"/>
    <w:next w:val="Normal"/>
    <w:qFormat/>
    <w:pPr>
      <w:overflowPunct w:val="true"/>
      <w:spacing w:lineRule="exact" w:line="420"/>
      <w:ind w:left="300" w:right="0" w:hanging="0"/>
      <w:jc w:val="distribute"/>
      <w:textAlignment w:val="center"/>
    </w:pPr>
    <w:rPr>
      <w:rFonts w:ascii="Times New Roman" w:hAnsi="Times New Roman" w:eastAsia="華康細明體" w:cs="Times New Roman"/>
      <w:kern w:val="0"/>
      <w:sz w:val="21"/>
      <w:szCs w:val="24"/>
    </w:rPr>
  </w:style>
  <w:style w:type="paragraph" w:styleId="Style42">
    <w:name w:val="函件(受文者)"/>
    <w:basedOn w:val="Normal"/>
    <w:next w:val="Normal"/>
    <w:qFormat/>
    <w:pPr>
      <w:overflowPunct w:val="true"/>
      <w:spacing w:lineRule="exact" w:line="420"/>
      <w:ind w:left="400" w:right="0" w:hanging="400"/>
      <w:jc w:val="distribute"/>
      <w:textAlignment w:val="center"/>
    </w:pPr>
    <w:rPr>
      <w:rFonts w:ascii="Times New Roman" w:hAnsi="Times New Roman" w:eastAsia="華康細明體" w:cs="Times New Roman"/>
      <w:kern w:val="0"/>
      <w:sz w:val="21"/>
      <w:szCs w:val="24"/>
    </w:rPr>
  </w:style>
  <w:style w:type="paragraph" w:styleId="Style43">
    <w:name w:val="函件(附件)"/>
    <w:basedOn w:val="Normal"/>
    <w:qFormat/>
    <w:pPr>
      <w:overflowPunct w:val="true"/>
      <w:spacing w:lineRule="exact" w:line="420"/>
      <w:ind w:left="300" w:right="0" w:hanging="300"/>
      <w:jc w:val="distribute"/>
      <w:textAlignment w:val="center"/>
    </w:pPr>
    <w:rPr>
      <w:rFonts w:ascii="Times New Roman" w:hAnsi="Times New Roman" w:eastAsia="華康細明體" w:cs="Times New Roman"/>
      <w:kern w:val="0"/>
      <w:sz w:val="21"/>
      <w:szCs w:val="24"/>
    </w:rPr>
  </w:style>
  <w:style w:type="paragraph" w:styleId="Style44">
    <w:name w:val="函件(密等及解密條件)"/>
    <w:basedOn w:val="Normal"/>
    <w:next w:val="Normal"/>
    <w:qFormat/>
    <w:pPr>
      <w:overflowPunct w:val="true"/>
      <w:spacing w:lineRule="exact" w:line="420"/>
      <w:ind w:left="800" w:right="0" w:hanging="800"/>
      <w:jc w:val="distribute"/>
      <w:textAlignment w:val="center"/>
    </w:pPr>
    <w:rPr>
      <w:rFonts w:ascii="Times New Roman" w:hAnsi="Times New Roman" w:eastAsia="華康細明體" w:cs="Times New Roman"/>
      <w:kern w:val="0"/>
      <w:sz w:val="21"/>
      <w:szCs w:val="24"/>
    </w:rPr>
  </w:style>
  <w:style w:type="paragraph" w:styleId="Style45">
    <w:name w:val="函件(速別)"/>
    <w:basedOn w:val="Normal"/>
    <w:next w:val="Normal"/>
    <w:qFormat/>
    <w:pPr>
      <w:overflowPunct w:val="true"/>
      <w:spacing w:lineRule="exact" w:line="420"/>
      <w:ind w:left="300" w:right="0" w:hanging="300"/>
      <w:jc w:val="distribute"/>
      <w:textAlignment w:val="center"/>
    </w:pPr>
    <w:rPr>
      <w:rFonts w:ascii="Times New Roman" w:hAnsi="Times New Roman" w:eastAsia="華康細明體" w:cs="Times New Roman"/>
      <w:kern w:val="0"/>
      <w:sz w:val="21"/>
      <w:szCs w:val="24"/>
    </w:rPr>
  </w:style>
  <w:style w:type="paragraph" w:styleId="Style46">
    <w:name w:val="函件(單位)"/>
    <w:basedOn w:val="Normal"/>
    <w:next w:val="Normal"/>
    <w:qFormat/>
    <w:pPr>
      <w:overflowPunct w:val="true"/>
      <w:jc w:val="distribute"/>
      <w:textAlignment w:val="center"/>
    </w:pPr>
    <w:rPr>
      <w:rFonts w:ascii="Times New Roman" w:hAnsi="Times New Roman" w:eastAsia="華康楷書體W5" w:cs="Times New Roman"/>
      <w:kern w:val="0"/>
      <w:sz w:val="28"/>
      <w:szCs w:val="24"/>
    </w:rPr>
  </w:style>
  <w:style w:type="paragraph" w:styleId="Style47">
    <w:name w:val="函件(發文日期與字號)"/>
    <w:basedOn w:val="Normal"/>
    <w:next w:val="Normal"/>
    <w:qFormat/>
    <w:pPr>
      <w:overflowPunct w:val="true"/>
      <w:spacing w:lineRule="exact" w:line="420"/>
      <w:ind w:left="500" w:right="0" w:hanging="500"/>
      <w:jc w:val="distribute"/>
      <w:textAlignment w:val="center"/>
    </w:pPr>
    <w:rPr>
      <w:rFonts w:ascii="Times New Roman" w:hAnsi="Times New Roman" w:eastAsia="華康細明體" w:cs="Times New Roman"/>
      <w:kern w:val="0"/>
      <w:sz w:val="21"/>
      <w:szCs w:val="24"/>
    </w:rPr>
  </w:style>
  <w:style w:type="paragraph" w:styleId="Style48">
    <w:name w:val="函件(發文日期與字號內文)"/>
    <w:basedOn w:val="Normal"/>
    <w:qFormat/>
    <w:pPr>
      <w:overflowPunct w:val="true"/>
      <w:spacing w:lineRule="exact" w:line="420"/>
      <w:ind w:left="0" w:right="0" w:firstLine="200"/>
      <w:jc w:val="distribute"/>
      <w:textAlignment w:val="center"/>
    </w:pPr>
    <w:rPr>
      <w:rFonts w:ascii="Times New Roman" w:hAnsi="Times New Roman" w:eastAsia="華康細明體" w:cs="Times New Roman"/>
      <w:kern w:val="0"/>
      <w:sz w:val="21"/>
      <w:szCs w:val="24"/>
    </w:rPr>
  </w:style>
  <w:style w:type="paragraph" w:styleId="Style49">
    <w:name w:val="函件(說明)"/>
    <w:basedOn w:val="Normal"/>
    <w:next w:val="Normal"/>
    <w:qFormat/>
    <w:pPr>
      <w:overflowPunct w:val="true"/>
      <w:spacing w:lineRule="exact" w:line="420"/>
      <w:ind w:left="300" w:right="0" w:hanging="300"/>
      <w:jc w:val="distribute"/>
      <w:textAlignment w:val="center"/>
    </w:pPr>
    <w:rPr>
      <w:rFonts w:ascii="Times New Roman" w:hAnsi="Times New Roman" w:eastAsia="華康細明體" w:cs="Times New Roman"/>
      <w:kern w:val="0"/>
      <w:sz w:val="21"/>
      <w:szCs w:val="24"/>
    </w:rPr>
  </w:style>
  <w:style w:type="paragraph" w:styleId="Style50">
    <w:name w:val="函件(說明內文)"/>
    <w:basedOn w:val="Normal"/>
    <w:qFormat/>
    <w:pPr>
      <w:overflowPunct w:val="true"/>
      <w:spacing w:lineRule="exact" w:line="420"/>
      <w:ind w:left="500" w:right="0" w:hanging="0"/>
      <w:jc w:val="distribute"/>
      <w:textAlignment w:val="center"/>
    </w:pPr>
    <w:rPr>
      <w:rFonts w:ascii="Times New Roman" w:hAnsi="Times New Roman" w:eastAsia="華康細明體" w:cs="Times New Roman"/>
      <w:kern w:val="0"/>
      <w:sz w:val="21"/>
      <w:szCs w:val="24"/>
    </w:rPr>
  </w:style>
  <w:style w:type="paragraph" w:styleId="Style51">
    <w:name w:val="函件(說明項目符號)"/>
    <w:basedOn w:val="Normal"/>
    <w:next w:val="Normal"/>
    <w:qFormat/>
    <w:pPr>
      <w:overflowPunct w:val="true"/>
      <w:spacing w:lineRule="exact" w:line="420"/>
      <w:ind w:left="300" w:right="0" w:hanging="200"/>
      <w:jc w:val="distribute"/>
      <w:textAlignment w:val="center"/>
    </w:pPr>
    <w:rPr>
      <w:rFonts w:ascii="Times New Roman" w:hAnsi="Times New Roman" w:eastAsia="華康細明體" w:cs="Times New Roman"/>
      <w:kern w:val="0"/>
      <w:sz w:val="21"/>
      <w:szCs w:val="24"/>
    </w:rPr>
  </w:style>
  <w:style w:type="paragraph" w:styleId="Style52">
    <w:name w:val="函件說明(一般項目)"/>
    <w:basedOn w:val="Normal"/>
    <w:next w:val="Normal"/>
    <w:qFormat/>
    <w:pPr>
      <w:overflowPunct w:val="true"/>
      <w:spacing w:lineRule="exact" w:line="420"/>
      <w:ind w:left="600" w:right="0" w:hanging="100"/>
      <w:jc w:val="distribute"/>
      <w:textAlignment w:val="center"/>
    </w:pPr>
    <w:rPr>
      <w:rFonts w:ascii="Times New Roman" w:hAnsi="Times New Roman" w:eastAsia="華康細明體" w:cs="Times New Roman"/>
      <w:kern w:val="0"/>
      <w:sz w:val="21"/>
      <w:szCs w:val="24"/>
    </w:rPr>
  </w:style>
  <w:style w:type="paragraph" w:styleId="Style53">
    <w:name w:val="函件說明(特殊項目)"/>
    <w:basedOn w:val="Normal"/>
    <w:next w:val="Normal"/>
    <w:qFormat/>
    <w:pPr>
      <w:overflowPunct w:val="true"/>
      <w:spacing w:lineRule="exact" w:line="420"/>
      <w:jc w:val="distribute"/>
      <w:textAlignment w:val="center"/>
    </w:pPr>
    <w:rPr>
      <w:rFonts w:ascii="Times New Roman" w:hAnsi="Times New Roman" w:eastAsia="華康細明體" w:cs="Times New Roman"/>
      <w:kern w:val="0"/>
      <w:sz w:val="21"/>
      <w:szCs w:val="24"/>
    </w:rPr>
  </w:style>
  <w:style w:type="paragraph" w:styleId="Style54">
    <w:name w:val="案由(議)"/>
    <w:basedOn w:val="Normal"/>
    <w:next w:val="Normal"/>
    <w:qFormat/>
    <w:pPr>
      <w:overflowPunct w:val="true"/>
      <w:spacing w:lineRule="exact" w:line="480"/>
      <w:ind w:left="550" w:right="0" w:hanging="300"/>
      <w:jc w:val="distribute"/>
      <w:textAlignment w:val="center"/>
    </w:pPr>
    <w:rPr>
      <w:rFonts w:ascii="Times New Roman" w:hAnsi="Times New Roman" w:eastAsia="華康楷書體W5" w:cs="Times New Roman"/>
      <w:spacing w:val="2"/>
      <w:kern w:val="0"/>
      <w:sz w:val="28"/>
      <w:szCs w:val="24"/>
    </w:rPr>
  </w:style>
  <w:style w:type="paragraph" w:styleId="Style55">
    <w:name w:val="委員會提案"/>
    <w:basedOn w:val="Style54"/>
    <w:qFormat/>
    <w:pPr>
      <w:spacing w:lineRule="exact" w:line="840"/>
      <w:ind w:left="1500" w:right="0" w:hanging="0"/>
    </w:pPr>
    <w:rPr/>
  </w:style>
  <w:style w:type="paragraph" w:styleId="Style56">
    <w:name w:val="官員提案"/>
    <w:basedOn w:val="Normal"/>
    <w:next w:val="Normal"/>
    <w:qFormat/>
    <w:pPr>
      <w:overflowPunct w:val="true"/>
      <w:spacing w:lineRule="exact" w:line="420"/>
      <w:textAlignment w:val="center"/>
    </w:pPr>
    <w:rPr>
      <w:rFonts w:ascii="Times New Roman" w:hAnsi="Times New Roman" w:eastAsia="華康細明體" w:cs="Times New Roman"/>
      <w:kern w:val="0"/>
      <w:sz w:val="21"/>
      <w:szCs w:val="24"/>
    </w:rPr>
  </w:style>
  <w:style w:type="paragraph" w:styleId="Style57">
    <w:name w:val="法律條文(內文)"/>
    <w:basedOn w:val="Normal"/>
    <w:next w:val="Normal"/>
    <w:qFormat/>
    <w:pPr>
      <w:overflowPunct w:val="true"/>
      <w:spacing w:lineRule="exact" w:line="420"/>
      <w:ind w:left="200" w:right="0" w:firstLine="200"/>
      <w:jc w:val="distribute"/>
      <w:textAlignment w:val="center"/>
    </w:pPr>
    <w:rPr>
      <w:rFonts w:ascii="Times New Roman" w:hAnsi="Times New Roman" w:eastAsia="華康細明體" w:cs="Times New Roman"/>
      <w:sz w:val="21"/>
      <w:szCs w:val="24"/>
    </w:rPr>
  </w:style>
  <w:style w:type="paragraph" w:styleId="Style58">
    <w:name w:val="法律條文(條)"/>
    <w:basedOn w:val="Normal"/>
    <w:qFormat/>
    <w:pPr>
      <w:overflowPunct w:val="true"/>
      <w:spacing w:lineRule="exact" w:line="420"/>
      <w:ind w:left="200" w:right="0" w:hanging="100"/>
      <w:jc w:val="distribute"/>
      <w:textAlignment w:val="center"/>
    </w:pPr>
    <w:rPr>
      <w:rFonts w:ascii="Times New Roman" w:hAnsi="Times New Roman" w:eastAsia="華康細明體" w:cs="Times New Roman"/>
      <w:sz w:val="21"/>
      <w:szCs w:val="24"/>
    </w:rPr>
  </w:style>
  <w:style w:type="paragraph" w:styleId="Style59">
    <w:name w:val="法律條文(項目符號)"/>
    <w:basedOn w:val="Normal"/>
    <w:next w:val="Normal"/>
    <w:qFormat/>
    <w:pPr>
      <w:overflowPunct w:val="true"/>
      <w:spacing w:lineRule="exact" w:line="420"/>
      <w:ind w:left="300" w:right="0" w:hanging="100"/>
      <w:jc w:val="distribute"/>
      <w:textAlignment w:val="center"/>
    </w:pPr>
    <w:rPr>
      <w:rFonts w:ascii="Times New Roman" w:hAnsi="Times New Roman" w:eastAsia="華康細明體" w:cs="Times New Roman"/>
      <w:sz w:val="21"/>
      <w:szCs w:val="24"/>
    </w:rPr>
  </w:style>
  <w:style w:type="paragraph" w:styleId="Style60">
    <w:name w:val="表格內文頂頭"/>
    <w:basedOn w:val="Normal"/>
    <w:next w:val="Normal"/>
    <w:qFormat/>
    <w:pPr>
      <w:overflowPunct w:val="true"/>
      <w:spacing w:lineRule="exact" w:line="315"/>
      <w:jc w:val="distribute"/>
      <w:textAlignment w:val="center"/>
    </w:pPr>
    <w:rPr>
      <w:rFonts w:ascii="Times New Roman" w:hAnsi="Times New Roman" w:eastAsia="華康細明體" w:cs="Times New Roman"/>
      <w:sz w:val="21"/>
      <w:szCs w:val="24"/>
    </w:rPr>
  </w:style>
  <w:style w:type="paragraph" w:styleId="Style61">
    <w:name w:val="表格法條"/>
    <w:basedOn w:val="Normal"/>
    <w:next w:val="Normal"/>
    <w:qFormat/>
    <w:pPr>
      <w:overflowPunct w:val="true"/>
      <w:ind w:left="150" w:right="0" w:hanging="100"/>
      <w:jc w:val="distribute"/>
      <w:textAlignment w:val="center"/>
    </w:pPr>
    <w:rPr>
      <w:rFonts w:ascii="Times New Roman" w:hAnsi="Times New Roman" w:eastAsia="華康細明體" w:cs="Times New Roman"/>
      <w:kern w:val="0"/>
      <w:sz w:val="21"/>
      <w:szCs w:val="24"/>
    </w:rPr>
  </w:style>
  <w:style w:type="paragraph" w:styleId="Style62">
    <w:name w:val="表格法條(條)"/>
    <w:basedOn w:val="Normal"/>
    <w:next w:val="Normal"/>
    <w:qFormat/>
    <w:pPr>
      <w:overflowPunct w:val="true"/>
      <w:ind w:left="150" w:right="0" w:hanging="100"/>
      <w:jc w:val="distribute"/>
      <w:textAlignment w:val="center"/>
    </w:pPr>
    <w:rPr>
      <w:rFonts w:ascii="Times New Roman" w:hAnsi="Times New Roman" w:eastAsia="華康細明體" w:cs="Times New Roman"/>
      <w:kern w:val="0"/>
      <w:sz w:val="21"/>
      <w:szCs w:val="24"/>
    </w:rPr>
  </w:style>
  <w:style w:type="paragraph" w:styleId="Style63">
    <w:name w:val="表格法條(款)"/>
    <w:basedOn w:val="Style62"/>
    <w:next w:val="Normal"/>
    <w:qFormat/>
    <w:pPr>
      <w:ind w:left="250" w:right="0" w:hanging="100"/>
    </w:pPr>
    <w:rPr/>
  </w:style>
  <w:style w:type="paragraph" w:styleId="Style64">
    <w:name w:val="表格法條(內文)"/>
    <w:basedOn w:val="Style63"/>
    <w:next w:val="Normal"/>
    <w:qFormat/>
    <w:pPr>
      <w:ind w:left="150" w:right="0" w:firstLine="200"/>
    </w:pPr>
    <w:rPr/>
  </w:style>
  <w:style w:type="paragraph" w:styleId="Style65">
    <w:name w:val="表格法條(狀態)"/>
    <w:basedOn w:val="Style62"/>
    <w:next w:val="Normal"/>
    <w:qFormat/>
    <w:pPr>
      <w:ind w:left="25" w:right="0" w:hanging="0"/>
    </w:pPr>
    <w:rPr/>
  </w:style>
  <w:style w:type="paragraph" w:styleId="Style66">
    <w:name w:val="表格法條(項)"/>
    <w:basedOn w:val="Style63"/>
    <w:next w:val="Normal"/>
    <w:qFormat/>
    <w:pPr>
      <w:ind w:left="350" w:right="0" w:hanging="100"/>
    </w:pPr>
    <w:rPr/>
  </w:style>
  <w:style w:type="paragraph" w:styleId="Style67">
    <w:name w:val="表格第一列(文字分散)"/>
    <w:basedOn w:val="Normal"/>
    <w:next w:val="Normal"/>
    <w:qFormat/>
    <w:pPr>
      <w:overflowPunct w:val="true"/>
      <w:spacing w:lineRule="exact" w:line="315"/>
      <w:ind w:left="50" w:right="50" w:hanging="0"/>
      <w:jc w:val="left"/>
      <w:textAlignment w:val="center"/>
    </w:pPr>
    <w:rPr>
      <w:rFonts w:ascii="Times New Roman" w:hAnsi="Times New Roman" w:eastAsia="華康細明體" w:cs="Times New Roman"/>
      <w:sz w:val="21"/>
      <w:szCs w:val="24"/>
    </w:rPr>
  </w:style>
  <w:style w:type="paragraph" w:styleId="Style68">
    <w:name w:val="表格項目符號"/>
    <w:basedOn w:val="Style62"/>
    <w:next w:val="Normal"/>
    <w:qFormat/>
    <w:pPr/>
    <w:rPr/>
  </w:style>
  <w:style w:type="paragraph" w:styleId="Style69">
    <w:name w:val="表格說明(內文)"/>
    <w:basedOn w:val="Style62"/>
    <w:next w:val="Normal"/>
    <w:qFormat/>
    <w:pPr>
      <w:ind w:left="50" w:right="0" w:hanging="0"/>
    </w:pPr>
    <w:rPr/>
  </w:style>
  <w:style w:type="paragraph" w:styleId="Style70">
    <w:name w:val="表格說明(提案)"/>
    <w:basedOn w:val="Style69"/>
    <w:next w:val="Normal"/>
    <w:qFormat/>
    <w:pPr/>
    <w:rPr>
      <w:rFonts w:eastAsia="華康中黑體"/>
    </w:rPr>
  </w:style>
  <w:style w:type="paragraph" w:styleId="Style71">
    <w:name w:val="表格說明(提案說明)"/>
    <w:basedOn w:val="Style70"/>
    <w:next w:val="Normal"/>
    <w:qFormat/>
    <w:pPr/>
    <w:rPr/>
  </w:style>
  <w:style w:type="paragraph" w:styleId="Style72">
    <w:name w:val="表格說明(項目符號)"/>
    <w:basedOn w:val="Style62"/>
    <w:next w:val="Normal"/>
    <w:qFormat/>
    <w:pPr/>
    <w:rPr/>
  </w:style>
  <w:style w:type="paragraph" w:styleId="Style73">
    <w:name w:val="政院次目錄次標題"/>
    <w:basedOn w:val="Normal"/>
    <w:next w:val="Normal"/>
    <w:qFormat/>
    <w:pPr>
      <w:overflowPunct w:val="true"/>
      <w:spacing w:lineRule="exact" w:line="420"/>
      <w:ind w:left="153" w:right="0" w:hanging="0"/>
      <w:jc w:val="distribute"/>
      <w:textAlignment w:val="center"/>
    </w:pPr>
    <w:rPr>
      <w:rFonts w:ascii="Times New Roman" w:hAnsi="Times New Roman" w:eastAsia="華康細明體" w:cs="Times New Roman"/>
      <w:kern w:val="0"/>
      <w:sz w:val="28"/>
      <w:szCs w:val="24"/>
    </w:rPr>
  </w:style>
  <w:style w:type="paragraph" w:styleId="Style74">
    <w:name w:val="政院次目錄標題"/>
    <w:basedOn w:val="Normal"/>
    <w:next w:val="Normal"/>
    <w:qFormat/>
    <w:pPr>
      <w:overflowPunct w:val="true"/>
      <w:spacing w:lineRule="exact" w:line="420"/>
      <w:jc w:val="distribute"/>
      <w:textAlignment w:val="center"/>
    </w:pPr>
    <w:rPr>
      <w:rFonts w:ascii="Times New Roman" w:hAnsi="Times New Roman" w:eastAsia="華康中黑體" w:cs="Times New Roman"/>
      <w:kern w:val="0"/>
      <w:sz w:val="28"/>
      <w:szCs w:val="24"/>
    </w:rPr>
  </w:style>
  <w:style w:type="paragraph" w:styleId="Style75">
    <w:name w:val="政院答復項目"/>
    <w:basedOn w:val="Normal"/>
    <w:next w:val="Normal"/>
    <w:qFormat/>
    <w:pPr>
      <w:overflowPunct w:val="true"/>
      <w:snapToGrid w:val="false"/>
      <w:spacing w:lineRule="atLeast" w:line="315"/>
      <w:ind w:left="200" w:right="0" w:hanging="200"/>
      <w:jc w:val="distribute"/>
      <w:textAlignment w:val="center"/>
    </w:pPr>
    <w:rPr>
      <w:rFonts w:ascii="Times New Roman" w:hAnsi="Times New Roman" w:eastAsia="華康細明體" w:cs="Times New Roman"/>
      <w:kern w:val="0"/>
      <w:sz w:val="21"/>
      <w:szCs w:val="24"/>
    </w:rPr>
  </w:style>
  <w:style w:type="paragraph" w:styleId="Style76">
    <w:name w:val="政院答復(一般項目)"/>
    <w:basedOn w:val="Style75"/>
    <w:next w:val="Normal"/>
    <w:qFormat/>
    <w:pPr/>
    <w:rPr/>
  </w:style>
  <w:style w:type="paragraph" w:styleId="Style77">
    <w:name w:val="政院答復(內文)"/>
    <w:basedOn w:val="Normal"/>
    <w:next w:val="Normal"/>
    <w:qFormat/>
    <w:pPr>
      <w:overflowPunct w:val="true"/>
      <w:spacing w:lineRule="atLeast" w:line="315"/>
      <w:ind w:left="200" w:right="0" w:hanging="0"/>
      <w:jc w:val="distribute"/>
      <w:textAlignment w:val="center"/>
    </w:pPr>
    <w:rPr>
      <w:rFonts w:ascii="Times New Roman" w:hAnsi="Times New Roman" w:eastAsia="華康細明體" w:cs="Times New Roman"/>
      <w:kern w:val="0"/>
      <w:sz w:val="21"/>
      <w:szCs w:val="24"/>
    </w:rPr>
  </w:style>
  <w:style w:type="paragraph" w:styleId="Style78">
    <w:name w:val="政院答復(特殊項目)"/>
    <w:basedOn w:val="Normal"/>
    <w:next w:val="Normal"/>
    <w:qFormat/>
    <w:pPr>
      <w:overflowPunct w:val="true"/>
      <w:jc w:val="distribute"/>
      <w:textAlignment w:val="center"/>
    </w:pPr>
    <w:rPr>
      <w:rFonts w:ascii="Times New Roman" w:hAnsi="Times New Roman" w:eastAsia="華康細明體" w:cs="Times New Roman"/>
      <w:kern w:val="0"/>
      <w:sz w:val="21"/>
      <w:szCs w:val="24"/>
    </w:rPr>
  </w:style>
  <w:style w:type="paragraph" w:styleId="Style79">
    <w:name w:val="政院質詢項目"/>
    <w:basedOn w:val="Normal"/>
    <w:next w:val="Normal"/>
    <w:qFormat/>
    <w:pPr>
      <w:overflowPunct w:val="true"/>
      <w:snapToGrid w:val="false"/>
      <w:textAlignment w:val="center"/>
    </w:pPr>
    <w:rPr>
      <w:rFonts w:ascii="Times New Roman" w:hAnsi="Times New Roman" w:eastAsia="華康楷書體W5" w:cs="Times New Roman"/>
      <w:kern w:val="0"/>
      <w:sz w:val="28"/>
      <w:szCs w:val="24"/>
    </w:rPr>
  </w:style>
  <w:style w:type="paragraph" w:styleId="Style80">
    <w:name w:val="政院質詢(一般項目)"/>
    <w:basedOn w:val="Style79"/>
    <w:next w:val="Normal"/>
    <w:qFormat/>
    <w:pPr/>
    <w:rPr/>
  </w:style>
  <w:style w:type="paragraph" w:styleId="Style81">
    <w:name w:val="政院質詢(內文)"/>
    <w:basedOn w:val="Normal"/>
    <w:qFormat/>
    <w:pPr>
      <w:overflowPunct w:val="true"/>
      <w:spacing w:lineRule="atLeast" w:line="315"/>
      <w:ind w:left="0" w:right="0" w:firstLine="200"/>
      <w:jc w:val="distribute"/>
      <w:textAlignment w:val="center"/>
    </w:pPr>
    <w:rPr>
      <w:rFonts w:ascii="Times New Roman" w:hAnsi="Times New Roman" w:eastAsia="華康細明體" w:cs="Times New Roman"/>
      <w:kern w:val="0"/>
      <w:sz w:val="21"/>
      <w:szCs w:val="24"/>
    </w:rPr>
  </w:style>
  <w:style w:type="paragraph" w:styleId="Style82">
    <w:name w:val="政院質詢(特殊項目)"/>
    <w:basedOn w:val="Normal"/>
    <w:next w:val="Normal"/>
    <w:qFormat/>
    <w:pPr>
      <w:overflowPunct w:val="true"/>
      <w:jc w:val="distribute"/>
      <w:textAlignment w:val="center"/>
    </w:pPr>
    <w:rPr>
      <w:rFonts w:ascii="Times New Roman" w:hAnsi="Times New Roman" w:eastAsia="華康細明體" w:cs="Times New Roman"/>
      <w:kern w:val="0"/>
      <w:sz w:val="21"/>
      <w:szCs w:val="24"/>
    </w:rPr>
  </w:style>
  <w:style w:type="paragraph" w:styleId="Style83">
    <w:name w:val="政院質詢項目(函)"/>
    <w:basedOn w:val="Normal"/>
    <w:next w:val="Normal"/>
    <w:qFormat/>
    <w:pPr>
      <w:overflowPunct w:val="true"/>
      <w:snapToGrid w:val="false"/>
      <w:ind w:left="500" w:right="0" w:hanging="0"/>
      <w:jc w:val="distribute"/>
      <w:textAlignment w:val="center"/>
    </w:pPr>
    <w:rPr>
      <w:rFonts w:ascii="Times New Roman" w:hAnsi="Times New Roman" w:eastAsia="華康細明體" w:cs="Times New Roman"/>
      <w:kern w:val="0"/>
      <w:sz w:val="21"/>
      <w:szCs w:val="24"/>
    </w:rPr>
  </w:style>
  <w:style w:type="paragraph" w:styleId="Style84">
    <w:name w:val="Footer"/>
    <w:basedOn w:val="Normal"/>
    <w:pPr>
      <w:tabs>
        <w:tab w:val="clear" w:pos="50"/>
        <w:tab w:val="center" w:pos="4153" w:leader="none"/>
        <w:tab w:val="right" w:pos="8306" w:leader="none"/>
      </w:tabs>
      <w:overflowPunct w:val="true"/>
      <w:snapToGrid w:val="false"/>
      <w:spacing w:lineRule="exact" w:line="210"/>
      <w:jc w:val="distribute"/>
      <w:textAlignment w:val="center"/>
    </w:pPr>
    <w:rPr>
      <w:rFonts w:ascii="Times New Roman" w:hAnsi="Times New Roman" w:eastAsia="華康細明體" w:cs="Times New Roman"/>
      <w:kern w:val="0"/>
      <w:sz w:val="21"/>
      <w:szCs w:val="20"/>
    </w:rPr>
  </w:style>
  <w:style w:type="paragraph" w:styleId="Style85">
    <w:name w:val="Header"/>
    <w:basedOn w:val="Normal"/>
    <w:pPr>
      <w:tabs>
        <w:tab w:val="clear" w:pos="50"/>
        <w:tab w:val="center" w:pos="4153" w:leader="none"/>
        <w:tab w:val="right" w:pos="8306" w:leader="none"/>
      </w:tabs>
      <w:overflowPunct w:val="true"/>
      <w:snapToGrid w:val="false"/>
      <w:spacing w:lineRule="exact" w:line="294"/>
      <w:jc w:val="distribute"/>
      <w:textAlignment w:val="center"/>
    </w:pPr>
    <w:rPr>
      <w:rFonts w:ascii="Times New Roman" w:hAnsi="Times New Roman" w:eastAsia="華康細明體" w:cs="Times New Roman"/>
      <w:kern w:val="0"/>
      <w:sz w:val="21"/>
      <w:szCs w:val="20"/>
    </w:rPr>
  </w:style>
  <w:style w:type="paragraph" w:styleId="Style86">
    <w:name w:val="修正條文(標題)"/>
    <w:basedOn w:val="Normal"/>
    <w:next w:val="Normal"/>
    <w:qFormat/>
    <w:pPr>
      <w:overflowPunct w:val="true"/>
      <w:ind w:left="400" w:right="0" w:hanging="0"/>
      <w:jc w:val="distribute"/>
      <w:textAlignment w:val="center"/>
    </w:pPr>
    <w:rPr>
      <w:rFonts w:ascii="Times New Roman" w:hAnsi="Times New Roman" w:eastAsia="華康楷書體W5" w:cs="Times New Roman"/>
      <w:kern w:val="0"/>
      <w:sz w:val="28"/>
      <w:szCs w:val="24"/>
    </w:rPr>
  </w:style>
  <w:style w:type="paragraph" w:styleId="Style87">
    <w:name w:val="特殊段落"/>
    <w:basedOn w:val="Normal"/>
    <w:next w:val="Normal"/>
    <w:qFormat/>
    <w:pPr>
      <w:overflowPunct w:val="true"/>
      <w:spacing w:lineRule="exact" w:line="420"/>
      <w:jc w:val="distribute"/>
      <w:textAlignment w:val="center"/>
    </w:pPr>
    <w:rPr>
      <w:rFonts w:ascii="Times New Roman" w:hAnsi="Times New Roman" w:eastAsia="華康細明體" w:cs="Times New Roman"/>
      <w:sz w:val="21"/>
      <w:szCs w:val="24"/>
    </w:rPr>
  </w:style>
  <w:style w:type="paragraph" w:styleId="Style88">
    <w:name w:val="特殊項目符號"/>
    <w:basedOn w:val="Normal"/>
    <w:next w:val="Normal"/>
    <w:qFormat/>
    <w:pPr>
      <w:overflowPunct w:val="true"/>
      <w:spacing w:lineRule="exact" w:line="420"/>
      <w:jc w:val="distribute"/>
      <w:textAlignment w:val="center"/>
    </w:pPr>
    <w:rPr>
      <w:rFonts w:ascii="Times New Roman" w:hAnsi="Times New Roman" w:eastAsia="華康細明體" w:cs="Times New Roman"/>
      <w:kern w:val="0"/>
      <w:sz w:val="21"/>
      <w:szCs w:val="24"/>
    </w:rPr>
  </w:style>
  <w:style w:type="paragraph" w:styleId="Style89">
    <w:name w:val="院總號"/>
    <w:basedOn w:val="Normal"/>
    <w:next w:val="Normal"/>
    <w:qFormat/>
    <w:pPr>
      <w:overflowPunct w:val="true"/>
      <w:spacing w:lineRule="exact" w:line="420"/>
      <w:jc w:val="distribute"/>
      <w:textAlignment w:val="center"/>
    </w:pPr>
    <w:rPr>
      <w:rFonts w:ascii="Times New Roman" w:hAnsi="Times New Roman" w:eastAsia="華康楷書體W5" w:cs="Times New Roman"/>
      <w:kern w:val="0"/>
      <w:sz w:val="42"/>
      <w:szCs w:val="24"/>
    </w:rPr>
  </w:style>
  <w:style w:type="paragraph" w:styleId="Style90">
    <w:name w:val="條"/>
    <w:basedOn w:val="Normal"/>
    <w:qFormat/>
    <w:pPr>
      <w:overflowPunct w:val="true"/>
      <w:spacing w:lineRule="exact" w:line="420"/>
      <w:ind w:left="500" w:right="0" w:hanging="500"/>
      <w:jc w:val="distribute"/>
      <w:textAlignment w:val="center"/>
    </w:pPr>
    <w:rPr>
      <w:rFonts w:ascii="Times New Roman" w:hAnsi="Times New Roman" w:eastAsia="華康細明體" w:cs="Times New Roman"/>
      <w:bCs/>
      <w:sz w:val="21"/>
      <w:szCs w:val="24"/>
    </w:rPr>
  </w:style>
  <w:style w:type="paragraph" w:styleId="13">
    <w:name w:val="條1"/>
    <w:basedOn w:val="Normal"/>
    <w:next w:val="Normal"/>
    <w:qFormat/>
    <w:pPr>
      <w:overflowPunct w:val="true"/>
      <w:spacing w:lineRule="exact" w:line="420"/>
      <w:ind w:left="375" w:right="0" w:hanging="375"/>
      <w:jc w:val="distribute"/>
      <w:textAlignment w:val="center"/>
    </w:pPr>
    <w:rPr>
      <w:rFonts w:ascii="Times New Roman" w:hAnsi="Times New Roman" w:eastAsia="華康細明體" w:cs="Times New Roman"/>
      <w:sz w:val="21"/>
      <w:szCs w:val="24"/>
    </w:rPr>
  </w:style>
  <w:style w:type="paragraph" w:styleId="Style91">
    <w:name w:val="條文內文"/>
    <w:basedOn w:val="Normal"/>
    <w:next w:val="Normal"/>
    <w:qFormat/>
    <w:pPr>
      <w:overflowPunct w:val="true"/>
      <w:spacing w:lineRule="exact" w:line="420"/>
      <w:ind w:left="500" w:right="0" w:firstLine="200"/>
      <w:jc w:val="distribute"/>
      <w:textAlignment w:val="center"/>
    </w:pPr>
    <w:rPr>
      <w:rFonts w:ascii="Times New Roman" w:hAnsi="Times New Roman" w:eastAsia="華康細明體" w:cs="Times New Roman"/>
      <w:sz w:val="21"/>
      <w:szCs w:val="24"/>
    </w:rPr>
  </w:style>
  <w:style w:type="paragraph" w:styleId="14">
    <w:name w:val="條文內文1"/>
    <w:basedOn w:val="Normal"/>
    <w:next w:val="Normal"/>
    <w:qFormat/>
    <w:pPr>
      <w:overflowPunct w:val="true"/>
      <w:spacing w:lineRule="exact" w:line="420"/>
      <w:ind w:left="500" w:right="0" w:firstLine="200"/>
      <w:jc w:val="distribute"/>
      <w:textAlignment w:val="center"/>
    </w:pPr>
    <w:rPr>
      <w:rFonts w:ascii="Times New Roman" w:hAnsi="Times New Roman" w:eastAsia="華康細明體" w:cs="Times New Roman"/>
      <w:sz w:val="21"/>
      <w:szCs w:val="24"/>
    </w:rPr>
  </w:style>
  <w:style w:type="paragraph" w:styleId="Style92">
    <w:name w:val="章"/>
    <w:basedOn w:val="Normal"/>
    <w:qFormat/>
    <w:pPr>
      <w:overflowPunct w:val="true"/>
      <w:spacing w:lineRule="exact" w:line="420"/>
      <w:ind w:left="800" w:right="0" w:hanging="0"/>
      <w:textAlignment w:val="center"/>
    </w:pPr>
    <w:rPr>
      <w:rFonts w:ascii="Times New Roman" w:hAnsi="Times New Roman" w:eastAsia="華康細明體" w:cs="Times New Roman"/>
      <w:bCs/>
      <w:sz w:val="21"/>
      <w:szCs w:val="24"/>
    </w:rPr>
  </w:style>
  <w:style w:type="paragraph" w:styleId="Style93">
    <w:name w:val="提案連署人-議程"/>
    <w:basedOn w:val="Normal"/>
    <w:next w:val="Normal"/>
    <w:qFormat/>
    <w:pPr>
      <w:overflowPunct w:val="true"/>
      <w:spacing w:lineRule="exact" w:line="420"/>
      <w:ind w:left="1500" w:right="300" w:hanging="400"/>
      <w:textAlignment w:val="center"/>
    </w:pPr>
    <w:rPr>
      <w:rFonts w:ascii="Times New Roman" w:hAnsi="Times New Roman" w:eastAsia="華康細明體" w:cs="Times New Roman"/>
      <w:kern w:val="0"/>
      <w:sz w:val="21"/>
      <w:szCs w:val="24"/>
    </w:rPr>
  </w:style>
  <w:style w:type="paragraph" w:styleId="Style94">
    <w:name w:val="提案連署人(委員)"/>
    <w:basedOn w:val="Normal"/>
    <w:qFormat/>
    <w:pPr>
      <w:overflowPunct w:val="true"/>
      <w:spacing w:lineRule="exact" w:line="420"/>
      <w:ind w:left="1500" w:right="300" w:hanging="400"/>
      <w:textAlignment w:val="center"/>
    </w:pPr>
    <w:rPr>
      <w:rFonts w:ascii="Times New Roman" w:hAnsi="Times New Roman" w:eastAsia="華康楷書體W5" w:cs="Times New Roman"/>
      <w:kern w:val="0"/>
      <w:sz w:val="21"/>
      <w:szCs w:val="24"/>
    </w:rPr>
  </w:style>
  <w:style w:type="paragraph" w:styleId="Style95">
    <w:name w:val="提案連署人(黨團)"/>
    <w:basedOn w:val="Normal"/>
    <w:qFormat/>
    <w:pPr>
      <w:overflowPunct w:val="true"/>
      <w:spacing w:lineRule="exact" w:line="420"/>
      <w:ind w:left="1500" w:right="300" w:hanging="400"/>
      <w:textAlignment w:val="center"/>
    </w:pPr>
    <w:rPr>
      <w:rFonts w:ascii="Times New Roman" w:hAnsi="Times New Roman" w:eastAsia="華康楷書體W5" w:cs="Times New Roman"/>
      <w:kern w:val="0"/>
      <w:sz w:val="21"/>
      <w:szCs w:val="24"/>
    </w:rPr>
  </w:style>
  <w:style w:type="paragraph" w:styleId="Style96">
    <w:name w:val="提案號"/>
    <w:basedOn w:val="Normal"/>
    <w:qFormat/>
    <w:pPr>
      <w:overflowPunct w:val="true"/>
      <w:spacing w:lineRule="exact" w:line="420"/>
      <w:jc w:val="distribute"/>
      <w:textAlignment w:val="center"/>
    </w:pPr>
    <w:rPr>
      <w:rFonts w:ascii="Times New Roman" w:hAnsi="Times New Roman" w:eastAsia="華康楷書體W5" w:cs="Times New Roman"/>
      <w:kern w:val="0"/>
      <w:sz w:val="34"/>
      <w:szCs w:val="24"/>
    </w:rPr>
  </w:style>
  <w:style w:type="paragraph" w:styleId="Style97">
    <w:name w:val="提案說明"/>
    <w:basedOn w:val="Normal"/>
    <w:qFormat/>
    <w:pPr>
      <w:overflowPunct w:val="true"/>
      <w:spacing w:lineRule="exact" w:line="420"/>
      <w:ind w:left="500" w:right="0" w:hanging="200"/>
      <w:jc w:val="distribute"/>
      <w:textAlignment w:val="center"/>
    </w:pPr>
    <w:rPr>
      <w:rFonts w:ascii="Times New Roman" w:hAnsi="Times New Roman" w:eastAsia="華康細明體" w:cs="Times New Roman"/>
      <w:kern w:val="0"/>
      <w:sz w:val="21"/>
      <w:szCs w:val="24"/>
    </w:rPr>
  </w:style>
  <w:style w:type="paragraph" w:styleId="Style98">
    <w:name w:val="款"/>
    <w:basedOn w:val="Normal"/>
    <w:qFormat/>
    <w:pPr>
      <w:overflowPunct w:val="true"/>
      <w:spacing w:lineRule="exact" w:line="420"/>
      <w:ind w:left="800" w:right="0" w:hanging="100"/>
      <w:jc w:val="distribute"/>
      <w:textAlignment w:val="center"/>
    </w:pPr>
    <w:rPr>
      <w:rFonts w:ascii="Times New Roman" w:hAnsi="Times New Roman" w:eastAsia="華康細明體" w:cs="Times New Roman"/>
      <w:bCs/>
      <w:sz w:val="21"/>
      <w:szCs w:val="24"/>
    </w:rPr>
  </w:style>
  <w:style w:type="paragraph" w:styleId="15">
    <w:name w:val="款1"/>
    <w:basedOn w:val="Normal"/>
    <w:next w:val="Normal"/>
    <w:qFormat/>
    <w:pPr>
      <w:overflowPunct w:val="true"/>
      <w:spacing w:lineRule="exact" w:line="420"/>
      <w:ind w:left="800" w:right="0" w:hanging="100"/>
      <w:jc w:val="distribute"/>
      <w:textAlignment w:val="center"/>
    </w:pPr>
    <w:rPr>
      <w:rFonts w:ascii="Times New Roman" w:hAnsi="Times New Roman" w:eastAsia="華康細明體" w:cs="Times New Roman"/>
      <w:bCs/>
      <w:sz w:val="21"/>
      <w:szCs w:val="24"/>
    </w:rPr>
  </w:style>
  <w:style w:type="paragraph" w:styleId="Style99">
    <w:name w:val="發函單位"/>
    <w:basedOn w:val="Normal"/>
    <w:next w:val="Normal"/>
    <w:qFormat/>
    <w:pPr>
      <w:overflowPunct w:val="true"/>
      <w:jc w:val="distribute"/>
      <w:textAlignment w:val="center"/>
    </w:pPr>
    <w:rPr>
      <w:rFonts w:ascii="Times New Roman" w:hAnsi="Times New Roman" w:eastAsia="華康中黑體" w:cs="Times New Roman"/>
      <w:spacing w:val="-10"/>
      <w:kern w:val="0"/>
      <w:sz w:val="28"/>
      <w:szCs w:val="24"/>
    </w:rPr>
  </w:style>
  <w:style w:type="paragraph" w:styleId="Style100">
    <w:name w:val="發函說明"/>
    <w:basedOn w:val="Style97"/>
    <w:next w:val="Style97"/>
    <w:qFormat/>
    <w:pPr/>
    <w:rPr/>
  </w:style>
  <w:style w:type="paragraph" w:styleId="Style101">
    <w:name w:val="答復項目"/>
    <w:basedOn w:val="Normal"/>
    <w:next w:val="Normal"/>
    <w:qFormat/>
    <w:pPr>
      <w:overflowPunct w:val="true"/>
      <w:ind w:left="200" w:right="0" w:hanging="200"/>
      <w:jc w:val="distribute"/>
      <w:textAlignment w:val="center"/>
    </w:pPr>
    <w:rPr>
      <w:rFonts w:ascii="Times New Roman" w:hAnsi="Times New Roman" w:eastAsia="華康細明體" w:cs="Times New Roman"/>
      <w:kern w:val="0"/>
      <w:sz w:val="21"/>
      <w:szCs w:val="24"/>
    </w:rPr>
  </w:style>
  <w:style w:type="paragraph" w:styleId="Style102">
    <w:name w:val="項"/>
    <w:basedOn w:val="Normal"/>
    <w:next w:val="Normal"/>
    <w:qFormat/>
    <w:pPr>
      <w:overflowPunct w:val="true"/>
      <w:spacing w:lineRule="exact" w:line="420"/>
      <w:ind w:left="100" w:right="0" w:hanging="100"/>
      <w:jc w:val="distribute"/>
      <w:textAlignment w:val="center"/>
    </w:pPr>
    <w:rPr>
      <w:rFonts w:ascii="Times New Roman" w:hAnsi="Times New Roman" w:eastAsia="華康細明體" w:cs="Times New Roman"/>
      <w:sz w:val="21"/>
      <w:szCs w:val="24"/>
    </w:rPr>
  </w:style>
  <w:style w:type="paragraph" w:styleId="16">
    <w:name w:val="項1"/>
    <w:basedOn w:val="Normal"/>
    <w:next w:val="Normal"/>
    <w:qFormat/>
    <w:pPr>
      <w:overflowPunct w:val="true"/>
      <w:spacing w:lineRule="exact" w:line="420"/>
      <w:ind w:left="800" w:right="0" w:hanging="100"/>
      <w:jc w:val="distribute"/>
      <w:textAlignment w:val="center"/>
    </w:pPr>
    <w:rPr>
      <w:rFonts w:ascii="Times New Roman" w:hAnsi="Times New Roman" w:eastAsia="華康細明體" w:cs="Times New Roman"/>
      <w:sz w:val="21"/>
      <w:szCs w:val="24"/>
    </w:rPr>
  </w:style>
  <w:style w:type="paragraph" w:styleId="Style103">
    <w:name w:val="節"/>
    <w:basedOn w:val="Normal"/>
    <w:qFormat/>
    <w:pPr>
      <w:overflowPunct w:val="true"/>
      <w:spacing w:lineRule="exact" w:line="420"/>
      <w:ind w:left="900" w:right="0" w:hanging="0"/>
      <w:textAlignment w:val="center"/>
    </w:pPr>
    <w:rPr>
      <w:rFonts w:ascii="Times New Roman" w:hAnsi="Times New Roman" w:eastAsia="華康楷書體W5" w:cs="Times New Roman"/>
      <w:bCs/>
      <w:sz w:val="21"/>
      <w:szCs w:val="24"/>
    </w:rPr>
  </w:style>
  <w:style w:type="paragraph" w:styleId="Style104">
    <w:name w:val="說明(一般項目)"/>
    <w:basedOn w:val="Normal"/>
    <w:next w:val="Normal"/>
    <w:qFormat/>
    <w:pPr>
      <w:overflowPunct w:val="true"/>
      <w:spacing w:lineRule="exact" w:line="420"/>
      <w:ind w:left="300" w:right="0" w:hanging="100"/>
      <w:jc w:val="distribute"/>
      <w:textAlignment w:val="center"/>
    </w:pPr>
    <w:rPr>
      <w:rFonts w:ascii="Times New Roman" w:hAnsi="Times New Roman" w:eastAsia="華康細明體" w:cs="Times New Roman"/>
      <w:kern w:val="0"/>
      <w:sz w:val="21"/>
      <w:szCs w:val="24"/>
    </w:rPr>
  </w:style>
  <w:style w:type="paragraph" w:styleId="Style105">
    <w:name w:val="說明(內文)"/>
    <w:basedOn w:val="Normal"/>
    <w:next w:val="Normal"/>
    <w:qFormat/>
    <w:pPr>
      <w:overflowPunct w:val="true"/>
      <w:spacing w:lineRule="exact" w:line="420"/>
      <w:ind w:left="0" w:right="0" w:firstLine="200"/>
      <w:jc w:val="distribute"/>
      <w:textAlignment w:val="center"/>
    </w:pPr>
    <w:rPr>
      <w:rFonts w:ascii="Times New Roman" w:hAnsi="Times New Roman" w:eastAsia="華康細明體" w:cs="Times New Roman"/>
      <w:kern w:val="0"/>
      <w:sz w:val="21"/>
      <w:szCs w:val="24"/>
    </w:rPr>
  </w:style>
  <w:style w:type="paragraph" w:styleId="Style106">
    <w:name w:val="說明(特殊項目)"/>
    <w:basedOn w:val="Normal"/>
    <w:next w:val="Normal"/>
    <w:qFormat/>
    <w:pPr>
      <w:overflowPunct w:val="true"/>
      <w:spacing w:lineRule="exact" w:line="420"/>
      <w:jc w:val="distribute"/>
      <w:textAlignment w:val="center"/>
    </w:pPr>
    <w:rPr>
      <w:rFonts w:ascii="Times New Roman" w:hAnsi="Times New Roman" w:eastAsia="華康細明體" w:cs="Times New Roman"/>
      <w:kern w:val="0"/>
      <w:sz w:val="21"/>
      <w:szCs w:val="24"/>
    </w:rPr>
  </w:style>
  <w:style w:type="paragraph" w:styleId="Style107">
    <w:name w:val="說明(無函件項目符號)"/>
    <w:basedOn w:val="Normal"/>
    <w:next w:val="Normal"/>
    <w:qFormat/>
    <w:pPr>
      <w:overflowPunct w:val="true"/>
      <w:spacing w:lineRule="exact" w:line="420"/>
      <w:ind w:left="300" w:right="0" w:hanging="200"/>
      <w:jc w:val="distribute"/>
      <w:textAlignment w:val="center"/>
    </w:pPr>
    <w:rPr>
      <w:rFonts w:ascii="Times New Roman" w:hAnsi="Times New Roman" w:eastAsia="華康細明體" w:cs="Times New Roman"/>
      <w:kern w:val="0"/>
      <w:sz w:val="21"/>
      <w:szCs w:val="24"/>
    </w:rPr>
  </w:style>
  <w:style w:type="paragraph" w:styleId="Style108">
    <w:name w:val="審查報告(項目符號)"/>
    <w:basedOn w:val="Normal"/>
    <w:next w:val="Normal"/>
    <w:qFormat/>
    <w:pPr>
      <w:overflowPunct w:val="true"/>
      <w:spacing w:lineRule="exact" w:line="420"/>
      <w:ind w:left="200" w:right="0" w:hanging="200"/>
      <w:jc w:val="distribute"/>
      <w:textAlignment w:val="center"/>
    </w:pPr>
    <w:rPr>
      <w:rFonts w:ascii="Times New Roman" w:hAnsi="Times New Roman" w:eastAsia="華康細明體" w:cs="Times New Roman"/>
      <w:kern w:val="0"/>
      <w:sz w:val="21"/>
      <w:szCs w:val="24"/>
    </w:rPr>
  </w:style>
  <w:style w:type="paragraph" w:styleId="Style109">
    <w:name w:val="審查報告(一般項目)"/>
    <w:basedOn w:val="Style108"/>
    <w:next w:val="Normal"/>
    <w:qFormat/>
    <w:pPr/>
    <w:rPr/>
  </w:style>
  <w:style w:type="paragraph" w:styleId="Style110">
    <w:name w:val="審查報告(內文)"/>
    <w:basedOn w:val="Normal"/>
    <w:next w:val="Normal"/>
    <w:qFormat/>
    <w:pPr>
      <w:overflowPunct w:val="true"/>
      <w:spacing w:lineRule="exact" w:line="420"/>
      <w:ind w:left="0" w:right="0" w:firstLine="200"/>
      <w:jc w:val="distribute"/>
      <w:textAlignment w:val="center"/>
    </w:pPr>
    <w:rPr>
      <w:rFonts w:ascii="Times New Roman" w:hAnsi="Times New Roman" w:eastAsia="華康細明體" w:cs="Times New Roman"/>
      <w:sz w:val="21"/>
      <w:szCs w:val="24"/>
    </w:rPr>
  </w:style>
  <w:style w:type="paragraph" w:styleId="Style111">
    <w:name w:val="審查報告(委員說明)"/>
    <w:basedOn w:val="Normal"/>
    <w:next w:val="Normal"/>
    <w:qFormat/>
    <w:pPr>
      <w:overflowPunct w:val="true"/>
      <w:spacing w:lineRule="exact" w:line="420"/>
      <w:jc w:val="distribute"/>
      <w:textAlignment w:val="center"/>
    </w:pPr>
    <w:rPr>
      <w:rFonts w:ascii="Times New Roman" w:hAnsi="Times New Roman" w:eastAsia="華康中黑體" w:cs="Times New Roman"/>
      <w:kern w:val="0"/>
      <w:sz w:val="21"/>
      <w:szCs w:val="24"/>
    </w:rPr>
  </w:style>
  <w:style w:type="paragraph" w:styleId="Style112">
    <w:name w:val="審查報告(特殊符號內文)"/>
    <w:basedOn w:val="Normal"/>
    <w:next w:val="Normal"/>
    <w:qFormat/>
    <w:pPr>
      <w:overflowPunct w:val="true"/>
      <w:spacing w:lineRule="exact" w:line="420"/>
      <w:jc w:val="distribute"/>
      <w:textAlignment w:val="center"/>
    </w:pPr>
    <w:rPr>
      <w:rFonts w:ascii="Times New Roman" w:hAnsi="Times New Roman" w:eastAsia="華康細明體" w:cs="Times New Roman"/>
      <w:sz w:val="21"/>
      <w:szCs w:val="24"/>
    </w:rPr>
  </w:style>
  <w:style w:type="paragraph" w:styleId="Style113">
    <w:name w:val="審查報告(特殊項目)"/>
    <w:basedOn w:val="Normal"/>
    <w:next w:val="Normal"/>
    <w:qFormat/>
    <w:pPr>
      <w:overflowPunct w:val="true"/>
      <w:spacing w:lineRule="exact" w:line="420"/>
      <w:jc w:val="distribute"/>
      <w:textAlignment w:val="center"/>
    </w:pPr>
    <w:rPr>
      <w:rFonts w:ascii="Times New Roman" w:hAnsi="Times New Roman" w:eastAsia="華康細明體" w:cs="Times New Roman"/>
      <w:kern w:val="0"/>
      <w:sz w:val="21"/>
      <w:szCs w:val="24"/>
    </w:rPr>
  </w:style>
  <w:style w:type="paragraph" w:styleId="Style114">
    <w:name w:val="審查報告(特殊項目內文)"/>
    <w:basedOn w:val="Normal"/>
    <w:next w:val="Normal"/>
    <w:qFormat/>
    <w:pPr>
      <w:overflowPunct w:val="true"/>
      <w:spacing w:lineRule="exact" w:line="420"/>
      <w:jc w:val="distribute"/>
      <w:textAlignment w:val="center"/>
    </w:pPr>
    <w:rPr>
      <w:rFonts w:ascii="Times New Roman" w:hAnsi="Times New Roman" w:eastAsia="華康細明體" w:cs="Times New Roman"/>
      <w:sz w:val="21"/>
      <w:szCs w:val="24"/>
    </w:rPr>
  </w:style>
  <w:style w:type="paragraph" w:styleId="Style115">
    <w:name w:val="審查報告(項目符號內文)"/>
    <w:basedOn w:val="Normal"/>
    <w:next w:val="Normal"/>
    <w:qFormat/>
    <w:pPr>
      <w:overflowPunct w:val="true"/>
      <w:spacing w:lineRule="exact" w:line="420"/>
      <w:jc w:val="distribute"/>
      <w:textAlignment w:val="center"/>
    </w:pPr>
    <w:rPr>
      <w:rFonts w:ascii="Times New Roman" w:hAnsi="Times New Roman" w:eastAsia="華康細明體" w:cs="Times New Roman"/>
      <w:kern w:val="0"/>
      <w:sz w:val="21"/>
      <w:szCs w:val="24"/>
    </w:rPr>
  </w:style>
  <w:style w:type="paragraph" w:styleId="Style116">
    <w:name w:val="審查報告(標題)"/>
    <w:basedOn w:val="Normal"/>
    <w:next w:val="Normal"/>
    <w:qFormat/>
    <w:pPr>
      <w:overflowPunct w:val="true"/>
      <w:ind w:left="600" w:right="0" w:hanging="100"/>
      <w:jc w:val="distribute"/>
      <w:textAlignment w:val="center"/>
    </w:pPr>
    <w:rPr>
      <w:rFonts w:ascii="Times New Roman" w:hAnsi="Times New Roman" w:eastAsia="華康楷書體W5" w:cs="Times New Roman"/>
      <w:kern w:val="0"/>
      <w:sz w:val="28"/>
      <w:szCs w:val="24"/>
    </w:rPr>
  </w:style>
  <w:style w:type="paragraph" w:styleId="Style117">
    <w:name w:val="質詢項目"/>
    <w:basedOn w:val="Normal"/>
    <w:next w:val="Normal"/>
    <w:qFormat/>
    <w:pPr>
      <w:overflowPunct w:val="true"/>
      <w:ind w:left="300" w:right="0" w:hanging="300"/>
      <w:jc w:val="distribute"/>
      <w:textAlignment w:val="center"/>
    </w:pPr>
    <w:rPr>
      <w:rFonts w:ascii="Times New Roman" w:hAnsi="Times New Roman" w:eastAsia="華康細明體" w:cs="Times New Roman"/>
      <w:kern w:val="0"/>
      <w:sz w:val="28"/>
      <w:szCs w:val="24"/>
    </w:rPr>
  </w:style>
  <w:style w:type="paragraph" w:styleId="Style118">
    <w:name w:val="質詢項目(函)"/>
    <w:basedOn w:val="Normal"/>
    <w:next w:val="Normal"/>
    <w:qFormat/>
    <w:pPr>
      <w:overflowPunct w:val="true"/>
      <w:ind w:left="400" w:right="0" w:hanging="0"/>
      <w:jc w:val="distribute"/>
      <w:textAlignment w:val="center"/>
    </w:pPr>
    <w:rPr>
      <w:rFonts w:ascii="Times New Roman" w:hAnsi="Times New Roman" w:eastAsia="華康細明體" w:cs="Times New Roman"/>
      <w:kern w:val="0"/>
      <w:sz w:val="21"/>
      <w:szCs w:val="24"/>
    </w:rPr>
  </w:style>
  <w:style w:type="paragraph" w:styleId="HTMLAddress">
    <w:name w:val="HTML Address"/>
    <w:basedOn w:val="Normal"/>
    <w:qFormat/>
    <w:pPr>
      <w:overflowPunct w:val="true"/>
      <w:jc w:val="distribute"/>
      <w:textAlignment w:val="center"/>
    </w:pPr>
    <w:rPr>
      <w:rFonts w:ascii="Times New Roman" w:hAnsi="Times New Roman" w:eastAsia="華康細明體" w:cs="Times New Roman"/>
      <w:i/>
      <w:iCs/>
      <w:kern w:val="0"/>
      <w:sz w:val="21"/>
      <w:szCs w:val="24"/>
    </w:rPr>
  </w:style>
  <w:style w:type="paragraph" w:styleId="Style119">
    <w:name w:val="質詢項目內文"/>
    <w:basedOn w:val="Normal"/>
    <w:next w:val="Normal"/>
    <w:qFormat/>
    <w:pPr>
      <w:overflowPunct w:val="true"/>
      <w:ind w:left="0" w:right="0" w:firstLine="200"/>
      <w:jc w:val="distribute"/>
      <w:textAlignment w:val="center"/>
    </w:pPr>
    <w:rPr>
      <w:rFonts w:ascii="Times New Roman" w:hAnsi="Times New Roman" w:eastAsia="華康細明體" w:cs="Times New Roman"/>
      <w:kern w:val="0"/>
      <w:sz w:val="21"/>
      <w:szCs w:val="24"/>
    </w:rPr>
  </w:style>
  <w:style w:type="paragraph" w:styleId="17">
    <w:name w:val="橫向數字1"/>
    <w:basedOn w:val="Normal"/>
    <w:next w:val="Normal"/>
    <w:qFormat/>
    <w:pPr>
      <w:overflowPunct w:val="true"/>
      <w:ind w:left="100" w:right="0" w:firstLine="55"/>
      <w:jc w:val="distribute"/>
      <w:textAlignment w:val="center"/>
    </w:pPr>
    <w:rPr>
      <w:rFonts w:ascii="Times New Roman" w:hAnsi="Times New Roman" w:eastAsia="華康細明體" w:cs="Times New Roman"/>
      <w:sz w:val="21"/>
      <w:szCs w:val="24"/>
    </w:rPr>
  </w:style>
  <w:style w:type="paragraph" w:styleId="2">
    <w:name w:val="橫向數字2"/>
    <w:basedOn w:val="Normal"/>
    <w:next w:val="Normal"/>
    <w:qFormat/>
    <w:pPr>
      <w:overflowPunct w:val="true"/>
      <w:ind w:left="100" w:right="0" w:firstLine="70"/>
      <w:jc w:val="distribute"/>
      <w:textAlignment w:val="center"/>
    </w:pPr>
    <w:rPr>
      <w:rFonts w:ascii="Times New Roman" w:hAnsi="Times New Roman" w:eastAsia="華康細明體" w:cs="Times New Roman"/>
      <w:sz w:val="21"/>
      <w:szCs w:val="24"/>
    </w:rPr>
  </w:style>
  <w:style w:type="paragraph" w:styleId="Style120">
    <w:name w:val="總說明(項目符號)"/>
    <w:basedOn w:val="Normal"/>
    <w:next w:val="Normal"/>
    <w:qFormat/>
    <w:pPr>
      <w:overflowPunct w:val="true"/>
      <w:spacing w:lineRule="exact" w:line="420"/>
      <w:ind w:left="200" w:right="0" w:hanging="200"/>
      <w:jc w:val="distribute"/>
      <w:textAlignment w:val="center"/>
    </w:pPr>
    <w:rPr>
      <w:rFonts w:ascii="Times New Roman" w:hAnsi="Times New Roman" w:eastAsia="華康細明體" w:cs="Times New Roman"/>
      <w:kern w:val="0"/>
      <w:sz w:val="21"/>
      <w:szCs w:val="24"/>
    </w:rPr>
  </w:style>
  <w:style w:type="paragraph" w:styleId="Style121">
    <w:name w:val="總說明(一般項目)"/>
    <w:basedOn w:val="Style120"/>
    <w:next w:val="Normal"/>
    <w:qFormat/>
    <w:pPr>
      <w:jc w:val="left"/>
    </w:pPr>
    <w:rPr/>
  </w:style>
  <w:style w:type="paragraph" w:styleId="Style122">
    <w:name w:val="總說明(內文)"/>
    <w:basedOn w:val="Normal"/>
    <w:qFormat/>
    <w:pPr>
      <w:overflowPunct w:val="true"/>
      <w:spacing w:lineRule="exact" w:line="420"/>
      <w:ind w:left="0" w:right="0" w:firstLine="200"/>
      <w:jc w:val="distribute"/>
      <w:textAlignment w:val="center"/>
    </w:pPr>
    <w:rPr>
      <w:rFonts w:ascii="Times New Roman" w:hAnsi="Times New Roman" w:eastAsia="華康細明體" w:cs="Times New Roman"/>
      <w:kern w:val="0"/>
      <w:sz w:val="21"/>
      <w:szCs w:val="24"/>
    </w:rPr>
  </w:style>
  <w:style w:type="paragraph" w:styleId="Style123">
    <w:name w:val="總說明(特殊項目)"/>
    <w:basedOn w:val="Normal"/>
    <w:next w:val="Normal"/>
    <w:qFormat/>
    <w:pPr>
      <w:overflowPunct w:val="true"/>
      <w:spacing w:lineRule="exact" w:line="420"/>
      <w:jc w:val="distribute"/>
      <w:textAlignment w:val="center"/>
    </w:pPr>
    <w:rPr>
      <w:rFonts w:ascii="Times New Roman" w:hAnsi="Times New Roman" w:eastAsia="華康細明體" w:cs="Times New Roman"/>
      <w:kern w:val="0"/>
      <w:sz w:val="21"/>
      <w:szCs w:val="24"/>
    </w:rPr>
  </w:style>
  <w:style w:type="paragraph" w:styleId="Style124">
    <w:name w:val="總說明(標題)"/>
    <w:basedOn w:val="Style99"/>
    <w:next w:val="Normal"/>
    <w:qFormat/>
    <w:pPr>
      <w:ind w:left="550" w:right="0" w:hanging="0"/>
    </w:pPr>
    <w:rPr>
      <w:rFonts w:eastAsia="華康楷書體W5"/>
      <w:spacing w:val="0"/>
    </w:rPr>
  </w:style>
  <w:style w:type="paragraph" w:styleId="Style125">
    <w:name w:val="黨團(委員)"/>
    <w:basedOn w:val="Normal"/>
    <w:next w:val="Normal"/>
    <w:qFormat/>
    <w:pPr>
      <w:overflowPunct w:val="true"/>
      <w:spacing w:lineRule="atLeast" w:line="420"/>
      <w:ind w:left="1500" w:right="300" w:hanging="0"/>
      <w:textAlignment w:val="center"/>
    </w:pPr>
    <w:rPr>
      <w:rFonts w:ascii="Times New Roman" w:hAnsi="Times New Roman" w:eastAsia="華康細明體" w:cs="Times New Roman"/>
      <w:sz w:val="21"/>
      <w:szCs w:val="24"/>
    </w:rPr>
  </w:style>
  <w:style w:type="paragraph" w:styleId="Style126">
    <w:name w:val="黨團提案-議程"/>
    <w:basedOn w:val="Style54"/>
    <w:qFormat/>
    <w:pPr>
      <w:spacing w:lineRule="exact" w:line="420"/>
      <w:ind w:left="1100" w:right="0" w:hanging="0"/>
    </w:pPr>
    <w:rPr>
      <w:rFonts w:eastAsia="華康細明體"/>
      <w:sz w:val="21"/>
    </w:rPr>
  </w:style>
  <w:style w:type="paragraph" w:styleId="Style127">
    <w:name w:val="項(內文)"/>
    <w:basedOn w:val="Normal"/>
    <w:next w:val="Normal"/>
    <w:qFormat/>
    <w:pPr>
      <w:overflowPunct w:val="true"/>
      <w:spacing w:lineRule="exact" w:line="420"/>
      <w:ind w:left="900" w:right="0" w:firstLine="200"/>
      <w:jc w:val="distribute"/>
      <w:textAlignment w:val="center"/>
    </w:pPr>
    <w:rPr>
      <w:rFonts w:ascii="Times New Roman" w:hAnsi="Times New Roman" w:eastAsia="華康細明體" w:cs="Times New Roman"/>
      <w:sz w:val="21"/>
      <w:szCs w:val="24"/>
    </w:rPr>
  </w:style>
  <w:style w:type="paragraph" w:styleId="Style128">
    <w:name w:val="收文編號"/>
    <w:basedOn w:val="Normal"/>
    <w:qFormat/>
    <w:pPr>
      <w:overflowPunct w:val="true"/>
      <w:jc w:val="distribute"/>
      <w:textAlignment w:val="center"/>
    </w:pPr>
    <w:rPr>
      <w:rFonts w:ascii="Times New Roman" w:hAnsi="Times New Roman" w:eastAsia="華康細明體" w:cs="Times New Roman"/>
      <w:sz w:val="21"/>
      <w:szCs w:val="24"/>
    </w:rPr>
  </w:style>
  <w:style w:type="paragraph" w:styleId="Style129">
    <w:name w:val="目(內文)"/>
    <w:basedOn w:val="Style33"/>
    <w:next w:val="Normal"/>
    <w:qFormat/>
    <w:pPr>
      <w:ind w:left="300" w:right="0" w:hanging="100"/>
    </w:pPr>
    <w:rPr/>
  </w:style>
  <w:style w:type="paragraph" w:styleId="18">
    <w:name w:val="項1(內文)"/>
    <w:basedOn w:val="Normal"/>
    <w:next w:val="Normal"/>
    <w:qFormat/>
    <w:pPr>
      <w:overflowPunct w:val="true"/>
      <w:spacing w:lineRule="exact" w:line="420"/>
      <w:ind w:left="900" w:right="0" w:firstLine="200"/>
      <w:jc w:val="distribute"/>
      <w:textAlignment w:val="center"/>
    </w:pPr>
    <w:rPr>
      <w:rFonts w:ascii="Times New Roman" w:hAnsi="Times New Roman" w:eastAsia="華康細明體" w:cs="Times New Roman"/>
      <w:sz w:val="21"/>
      <w:szCs w:val="24"/>
    </w:rPr>
  </w:style>
  <w:style w:type="paragraph" w:styleId="19">
    <w:name w:val="目1(內文)"/>
    <w:basedOn w:val="Normal"/>
    <w:next w:val="Normal"/>
    <w:qFormat/>
    <w:pPr>
      <w:overflowPunct w:val="true"/>
      <w:spacing w:lineRule="exact" w:line="420"/>
      <w:ind w:left="200" w:right="0" w:firstLine="200"/>
      <w:jc w:val="distribute"/>
      <w:textAlignment w:val="center"/>
    </w:pPr>
    <w:rPr>
      <w:rFonts w:ascii="Times New Roman" w:hAnsi="Times New Roman" w:eastAsia="華康細明體" w:cs="Times New Roman"/>
      <w:sz w:val="21"/>
      <w:szCs w:val="24"/>
    </w:rPr>
  </w:style>
  <w:style w:type="paragraph" w:styleId="110">
    <w:name w:val="說明(內文1)"/>
    <w:basedOn w:val="Normal"/>
    <w:next w:val="Normal"/>
    <w:qFormat/>
    <w:pPr>
      <w:overflowPunct w:val="true"/>
      <w:spacing w:lineRule="exact" w:line="420"/>
      <w:ind w:left="0" w:right="0" w:firstLine="200"/>
      <w:jc w:val="distribute"/>
      <w:textAlignment w:val="center"/>
    </w:pPr>
    <w:rPr>
      <w:rFonts w:ascii="Times New Roman" w:hAnsi="Times New Roman" w:eastAsia="華康細明體" w:cs="Times New Roman"/>
      <w:sz w:val="21"/>
      <w:szCs w:val="24"/>
    </w:rPr>
  </w:style>
  <w:style w:type="paragraph" w:styleId="HTMLPreformatted">
    <w:name w:val="HTML Preformatted"/>
    <w:basedOn w:val="Normal"/>
    <w:qFormat/>
    <w:pPr>
      <w:widowControl/>
      <w:tabs>
        <w:tab w:val="clear" w:pos="5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細明體" w:hAnsi="細明體" w:eastAsia="細明體" w:cs="Times New Roman"/>
      <w:kern w:val="0"/>
      <w:sz w:val="20"/>
      <w:szCs w:val="24"/>
    </w:rPr>
  </w:style>
  <w:style w:type="paragraph" w:styleId="TableParagraph">
    <w:name w:val="Table Paragraph"/>
    <w:basedOn w:val="Normal"/>
    <w:qFormat/>
    <w:pPr>
      <w:ind w:left="103" w:right="0" w:hanging="0"/>
    </w:pPr>
    <w:rPr>
      <w:rFonts w:ascii="標楷體" w:hAnsi="標楷體" w:eastAsia="標楷體" w:cs="標楷體"/>
      <w:kern w:val="0"/>
      <w:sz w:val="22"/>
      <w:lang w:eastAsia="en-US"/>
    </w:rPr>
  </w:style>
  <w:style w:type="paragraph" w:styleId="Style130">
    <w:name w:val="Salutation"/>
    <w:basedOn w:val="Normal"/>
    <w:next w:val="Normal"/>
    <w:pPr>
      <w:overflowPunct w:val="true"/>
      <w:jc w:val="distribute"/>
      <w:textAlignment w:val="center"/>
    </w:pPr>
    <w:rPr>
      <w:rFonts w:ascii="標楷體" w:hAnsi="標楷體" w:eastAsia="標楷體" w:cs="Times New Roman"/>
      <w:kern w:val="0"/>
      <w:sz w:val="21"/>
      <w:szCs w:val="24"/>
    </w:rPr>
  </w:style>
  <w:style w:type="paragraph" w:styleId="Closing">
    <w:name w:val="Closing"/>
    <w:basedOn w:val="Normal"/>
    <w:qFormat/>
    <w:pPr>
      <w:overflowPunct w:val="true"/>
      <w:ind w:left="100" w:right="0" w:hanging="0"/>
      <w:jc w:val="distribute"/>
      <w:textAlignment w:val="center"/>
    </w:pPr>
    <w:rPr>
      <w:rFonts w:ascii="標楷體" w:hAnsi="標楷體" w:eastAsia="標楷體" w:cs="Times New Roman"/>
      <w:kern w:val="0"/>
      <w:sz w:val="21"/>
      <w:szCs w:val="24"/>
    </w:rPr>
  </w:style>
  <w:style w:type="paragraph" w:styleId="BalloonText">
    <w:name w:val="Balloon Text"/>
    <w:basedOn w:val="Normal"/>
    <w:qFormat/>
    <w:pPr>
      <w:overflowPunct w:val="true"/>
      <w:jc w:val="distribute"/>
      <w:textAlignment w:val="center"/>
    </w:pPr>
    <w:rPr>
      <w:rFonts w:ascii="Calibri Light" w:hAnsi="Calibri Light" w:eastAsia="新細明體" w:cs="Times New Roman"/>
      <w:kern w:val="0"/>
      <w:sz w:val="18"/>
      <w:szCs w:val="18"/>
    </w:rPr>
  </w:style>
  <w:style w:type="paragraph" w:styleId="PlainText">
    <w:name w:val="Plain Text"/>
    <w:basedOn w:val="Normal"/>
    <w:qFormat/>
    <w:pPr/>
    <w:rPr>
      <w:rFonts w:ascii="Calibri" w:hAnsi="Calibri" w:eastAsia="新細明體" w:cs="Times New Roman"/>
      <w:kern w:val="0"/>
      <w:sz w:val="20"/>
      <w:szCs w:val="24"/>
    </w:rPr>
  </w:style>
  <w:style w:type="paragraph" w:styleId="Annotationtext">
    <w:name w:val="annotation text"/>
    <w:basedOn w:val="Normal"/>
    <w:qFormat/>
    <w:pPr>
      <w:overflowPunct w:val="true"/>
      <w:textAlignment w:val="center"/>
    </w:pPr>
    <w:rPr>
      <w:rFonts w:ascii="Times New Roman" w:hAnsi="Times New Roman" w:eastAsia="華康細明體" w:cs="Times New Roman"/>
      <w:sz w:val="21"/>
      <w:szCs w:val="24"/>
    </w:rPr>
  </w:style>
  <w:style w:type="paragraph" w:styleId="Annotationsubject">
    <w:name w:val="annotation subject"/>
    <w:basedOn w:val="Annotationtext"/>
    <w:next w:val="Annotationtext"/>
    <w:qFormat/>
    <w:pPr/>
    <w:rPr>
      <w:b/>
      <w:bCs/>
    </w:rPr>
  </w:style>
  <w:style w:type="paragraph" w:styleId="Revision">
    <w:name w:val="Revision"/>
    <w:qFormat/>
    <w:pPr>
      <w:widowControl/>
      <w:kinsoku w:val="true"/>
      <w:overflowPunct w:val="true"/>
      <w:autoSpaceDE w:val="true"/>
      <w:bidi w:val="0"/>
      <w:jc w:val="left"/>
    </w:pPr>
    <w:rPr>
      <w:rFonts w:ascii="Times New Roman" w:hAnsi="Times New Roman" w:eastAsia="華康細明體" w:cs="Times New Roman"/>
      <w:color w:val="auto"/>
      <w:kern w:val="2"/>
      <w:sz w:val="21"/>
      <w:szCs w:val="24"/>
      <w:lang w:val="en-US" w:eastAsia="zh-TW" w:bidi="ar-SA"/>
    </w:rPr>
  </w:style>
  <w:style w:type="paragraph" w:styleId="ListParagraph">
    <w:name w:val="List Paragraph"/>
    <w:basedOn w:val="Normal"/>
    <w:qFormat/>
    <w:pPr>
      <w:ind w:left="480" w:right="0" w:hanging="0"/>
    </w:pPr>
    <w:rPr>
      <w:rFonts w:ascii="Calibri" w:hAnsi="Calibri" w:eastAsia="新細明體" w:cs="Times New Roman"/>
    </w:rPr>
  </w:style>
  <w:style w:type="paragraph" w:styleId="Style131">
    <w:name w:val="Footnote Text"/>
    <w:basedOn w:val="Normal"/>
    <w:pPr>
      <w:snapToGrid w:val="false"/>
    </w:pPr>
    <w:rPr>
      <w:rFonts w:ascii="Times New Roman" w:hAnsi="Times New Roman" w:eastAsia="新細明體" w:cs="Times New Roman"/>
      <w:sz w:val="20"/>
      <w:szCs w:val="20"/>
    </w:rPr>
  </w:style>
  <w:style w:type="paragraph" w:styleId="111">
    <w:name w:val="標題 11"/>
    <w:basedOn w:val="Normal"/>
    <w:qFormat/>
    <w:pPr>
      <w:numPr>
        <w:ilvl w:val="0"/>
        <w:numId w:val="0"/>
      </w:numPr>
      <w:ind w:left="158" w:right="0" w:hanging="0"/>
      <w:outlineLvl w:val="0"/>
    </w:pPr>
    <w:rPr>
      <w:rFonts w:ascii="新細明體" w:hAnsi="新細明體" w:eastAsia="新細明體" w:cs="新細明體"/>
      <w:kern w:val="0"/>
      <w:sz w:val="26"/>
      <w:szCs w:val="26"/>
    </w:rPr>
  </w:style>
  <w:style w:type="paragraph" w:styleId="Default">
    <w:name w:val="Default"/>
    <w:qFormat/>
    <w:pPr>
      <w:widowControl w:val="false"/>
      <w:kinsoku w:val="true"/>
      <w:overflowPunct w:val="true"/>
      <w:autoSpaceDE w:val="true"/>
      <w:bidi w:val="0"/>
      <w:jc w:val="left"/>
    </w:pPr>
    <w:rPr>
      <w:rFonts w:ascii="標楷體" w:hAnsi="標楷體" w:eastAsia="標楷體" w:cs="標楷體"/>
      <w:color w:val="000000"/>
      <w:kern w:val="0"/>
      <w:sz w:val="24"/>
      <w:szCs w:val="24"/>
      <w:lang w:val="en-US" w:eastAsia="zh-TW" w:bidi="ar-SA"/>
    </w:rPr>
  </w:style>
  <w:style w:type="paragraph" w:styleId="Cjk">
    <w:name w:val="cjk"/>
    <w:basedOn w:val="Normal"/>
    <w:qFormat/>
    <w:pPr>
      <w:widowControl/>
      <w:spacing w:before="280" w:after="0"/>
    </w:pPr>
    <w:rPr>
      <w:rFonts w:ascii="新細明體" w:hAnsi="新細明體" w:eastAsia="新細明體" w:cs="新細明體"/>
      <w:kern w:val="0"/>
      <w:szCs w:val="24"/>
    </w:rPr>
  </w:style>
  <w:style w:type="paragraph" w:styleId="112">
    <w:name w:val="彩色清單 - 輔色 11"/>
    <w:basedOn w:val="Normal"/>
    <w:qFormat/>
    <w:pPr>
      <w:ind w:left="480" w:right="0" w:hanging="0"/>
    </w:pPr>
    <w:rPr>
      <w:rFonts w:ascii="Calibri" w:hAnsi="Calibri" w:eastAsia="新細明體" w:cs="Times New Roman"/>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71</TotalTime>
  <Application>NDC_ODF_Application_Tools/2.0.2$Windows_X86_64 LibreOffice_project/c2aef257b421fc89732e65db8501f993adb40c83</Application>
  <Pages>6</Pages>
  <Words>3269</Words>
  <CharactersWithSpaces>3374</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2020-06-02T15:10:00Z</dcterms:created>
  <dc:creator>陳慧茹</dc:creator>
  <dc:description/>
  <dc:language>zh-TW</dc:language>
  <cp:lastModifiedBy/>
  <cp:lastPrinted>2020-04-16T06:40:00Z</cp:lastPrinted>
  <dcterms:modified xsi:type="dcterms:W3CDTF">2020-06-19T14:11:35Z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